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0288"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湖南鹏恒信息科技有限公司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33.02.01,33.02.04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lang w:val="de-DE"/>
        </w:rPr>
        <w:t xml:space="preserve">ISO9001:2015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 xml:space="preserve">ISO14001:2015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湖南鹏恒信息科技有限公司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湖南省长沙市天心区友谊路958号克拉美丽山庄5栋1602房</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410004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湖南长沙天心区友谊路梦洁家居国际生活馆右边巷子3楼303室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410004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廉东</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15874981450</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廉东</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廉东</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ascii="宋体" w:hAnsi="宋体"/>
                <w:b/>
                <w:color w:val="000000" w:themeColor="text1"/>
                <w:sz w:val="20"/>
                <w:szCs w:val="20"/>
              </w:rPr>
              <w:t>黄信富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pStyle w:val="10"/>
              <w:rPr>
                <w:rFonts w:hint="eastAsia" w:ascii="宋体" w:hAnsi="宋体" w:cs="楷体"/>
                <w:color w:val="000000"/>
                <w:szCs w:val="21"/>
                <w:shd w:val="clear" w:color="auto" w:fill="FFFFFF"/>
              </w:rPr>
            </w:pPr>
          </w:p>
          <w:p>
            <w:pPr>
              <w:spacing w:line="320" w:lineRule="exact"/>
              <w:rPr>
                <w:rFonts w:ascii="宋体" w:hAnsi="宋体"/>
                <w:b/>
                <w:color w:val="000000" w:themeColor="text1"/>
                <w:sz w:val="20"/>
                <w:szCs w:val="20"/>
                <w:u w:val="single"/>
                <w:lang w:val="en-GB"/>
              </w:rPr>
            </w:pPr>
            <w:bookmarkStart w:id="1" w:name="审核范围"/>
            <w:r>
              <w:rPr>
                <w:rFonts w:ascii="宋体" w:hAnsi="宋体"/>
                <w:b/>
                <w:color w:val="000000" w:themeColor="text1"/>
                <w:sz w:val="20"/>
                <w:szCs w:val="20"/>
              </w:rPr>
              <w:t>应用软件开发及维护服务；智能电网系统技术咨询</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bookmarkStart w:id="2" w:name="专业代码"/>
            <w:r>
              <w:rPr>
                <w:rFonts w:ascii="宋体" w:hAnsi="宋体"/>
                <w:b/>
                <w:color w:val="000000" w:themeColor="text1"/>
                <w:sz w:val="20"/>
                <w:szCs w:val="20"/>
              </w:rPr>
              <w:t>33.02.01;33.02.04</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3" w:name="体系运行时间"/>
            <w:r>
              <w:rPr>
                <w:rFonts w:ascii="宋体" w:hAnsi="宋体"/>
                <w:b/>
                <w:color w:val="000000" w:themeColor="text1"/>
                <w:sz w:val="20"/>
                <w:szCs w:val="20"/>
              </w:rPr>
              <w:t>2020-03-10 0:00:00</w:t>
            </w:r>
            <w:bookmarkEnd w:id="3"/>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p>
            <w:pPr>
              <w:jc w:val="center"/>
              <w:rPr>
                <w:rFonts w:hint="eastAsia" w:ascii="宋体" w:hAnsi="宋体"/>
                <w:b/>
                <w:color w:val="000000" w:themeColor="text1"/>
                <w:sz w:val="20"/>
                <w:szCs w:val="20"/>
                <w:lang w:val="en-US" w:eastAsia="zh-CN"/>
              </w:rPr>
            </w:pPr>
          </w:p>
          <w:p>
            <w:pPr>
              <w:jc w:val="center"/>
              <w:rPr>
                <w:rFonts w:hint="default" w:ascii="宋体" w:hAnsi="宋体"/>
                <w:b/>
                <w:color w:val="000000" w:themeColor="text1"/>
                <w:sz w:val="20"/>
                <w:szCs w:val="20"/>
                <w:lang w:val="en-US"/>
              </w:rPr>
            </w:pPr>
            <w:r>
              <w:rPr>
                <w:rFonts w:hint="eastAsia" w:ascii="宋体" w:hAnsi="宋体"/>
                <w:b/>
                <w:color w:val="000000" w:themeColor="text1"/>
                <w:sz w:val="20"/>
                <w:szCs w:val="20"/>
                <w:lang w:val="en-US" w:eastAsia="zh-CN"/>
              </w:rPr>
              <w:t>综合部</w:t>
            </w:r>
          </w:p>
        </w:tc>
        <w:tc>
          <w:tcPr>
            <w:tcW w:w="6804" w:type="dxa"/>
            <w:vAlign w:val="top"/>
          </w:tcPr>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负责质量管理体系文件的编写、修改、保持和贯彻执行；</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负责做好文件标识、分类、归档、管理和追踪，确保文件为最新有效版本；</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负责公司机关办公设备计划的制订、采购、进货检查、验收、归档；</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负责公司内部信息的传递；</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负责公司资质、证件、印信管理；</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处理日常事务和外部联系；</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负责制定公司教育培训规划和年度培训计划，并负责组织实施；</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负责公司人力资源的管理；</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负责公司人员的年度业绩考核，并建档；</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负责内部审核和管理评审的组织实施。</w:t>
            </w:r>
          </w:p>
          <w:p>
            <w:pPr>
              <w:ind w:firstLine="420" w:firstLineChars="200"/>
              <w:jc w:val="both"/>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技术部</w:t>
            </w:r>
          </w:p>
        </w:tc>
        <w:tc>
          <w:tcPr>
            <w:tcW w:w="6804" w:type="dxa"/>
          </w:tcPr>
          <w:p>
            <w:pPr>
              <w:numPr>
                <w:ilvl w:val="0"/>
                <w:numId w:val="0"/>
              </w:numPr>
              <w:rPr>
                <w:rFonts w:hint="eastAsia" w:ascii="宋体" w:hAnsi="宋体"/>
                <w:szCs w:val="21"/>
                <w:lang w:val="en-US" w:eastAsia="zh-CN"/>
              </w:rPr>
            </w:pPr>
            <w:r>
              <w:rPr>
                <w:rFonts w:hint="eastAsia" w:cs="Lucida Sans"/>
                <w:b w:val="0"/>
                <w:bCs/>
                <w:szCs w:val="20"/>
                <w:lang w:val="en-US" w:eastAsia="zh-CN"/>
              </w:rPr>
              <w:t>1.策划、实施</w:t>
            </w:r>
            <w:r>
              <w:rPr>
                <w:rFonts w:hint="eastAsia" w:ascii="宋体" w:hAnsi="宋体"/>
                <w:szCs w:val="21"/>
              </w:rPr>
              <w:t xml:space="preserve">应用软件开发及维护服务；智能电网系统技术咨询 </w:t>
            </w:r>
            <w:r>
              <w:rPr>
                <w:rFonts w:hint="eastAsia" w:ascii="宋体" w:hAnsi="宋体"/>
                <w:szCs w:val="21"/>
                <w:lang w:val="en-US" w:eastAsia="zh-CN"/>
              </w:rPr>
              <w:t>的技术服务活动</w:t>
            </w:r>
          </w:p>
          <w:p>
            <w:pPr>
              <w:pStyle w:val="10"/>
              <w:numPr>
                <w:ilvl w:val="0"/>
                <w:numId w:val="0"/>
              </w:numPr>
              <w:rPr>
                <w:rFonts w:hint="default"/>
                <w:lang w:val="en-US" w:eastAsia="zh-CN"/>
              </w:rPr>
            </w:pPr>
            <w:r>
              <w:rPr>
                <w:rFonts w:hint="eastAsia"/>
                <w:lang w:val="en-US" w:eastAsia="zh-CN"/>
              </w:rPr>
              <w:t>2.对</w:t>
            </w:r>
            <w:r>
              <w:rPr>
                <w:rFonts w:hint="eastAsia" w:ascii="宋体" w:hAnsi="宋体"/>
                <w:szCs w:val="21"/>
              </w:rPr>
              <w:t xml:space="preserve">应用软件开发及维护服务；智能电网系统技术咨询 </w:t>
            </w:r>
            <w:r>
              <w:rPr>
                <w:rFonts w:hint="eastAsia"/>
                <w:lang w:val="en-US" w:eastAsia="zh-CN"/>
              </w:rPr>
              <w:t>过程进行监督管理工作</w:t>
            </w:r>
          </w:p>
          <w:p>
            <w:pPr>
              <w:pStyle w:val="10"/>
              <w:numPr>
                <w:ilvl w:val="0"/>
                <w:numId w:val="0"/>
              </w:numPr>
              <w:rPr>
                <w:rFonts w:hint="eastAsia"/>
                <w:lang w:val="en-US" w:eastAsia="zh-CN"/>
              </w:rPr>
            </w:pPr>
            <w:r>
              <w:rPr>
                <w:rFonts w:hint="eastAsia"/>
                <w:lang w:val="en-US" w:eastAsia="zh-CN"/>
              </w:rPr>
              <w:t>3.负责不合格品的控制、数据处理的放行</w:t>
            </w:r>
          </w:p>
          <w:p>
            <w:pPr>
              <w:pStyle w:val="10"/>
              <w:numPr>
                <w:ilvl w:val="0"/>
                <w:numId w:val="0"/>
              </w:numPr>
              <w:rPr>
                <w:rFonts w:hint="default"/>
                <w:lang w:val="en-US" w:eastAsia="zh-CN"/>
              </w:rPr>
            </w:pPr>
            <w:r>
              <w:rPr>
                <w:rFonts w:hint="eastAsia"/>
                <w:lang w:val="en-US" w:eastAsia="zh-CN"/>
              </w:rPr>
              <w:t>4.对</w:t>
            </w:r>
            <w:r>
              <w:rPr>
                <w:rFonts w:hint="eastAsia" w:ascii="宋体" w:hAnsi="宋体"/>
                <w:szCs w:val="21"/>
              </w:rPr>
              <w:t xml:space="preserve">应用软件开发及维护服务；智能电网系统技术咨询 </w:t>
            </w:r>
            <w:r>
              <w:rPr>
                <w:rFonts w:hint="eastAsia"/>
                <w:lang w:val="en-US" w:eastAsia="zh-CN"/>
              </w:rPr>
              <w:t>设备的管理等</w:t>
            </w:r>
          </w:p>
          <w:p>
            <w:pPr>
              <w:ind w:firstLine="322" w:firstLineChars="200"/>
              <w:jc w:val="both"/>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vAlign w:val="top"/>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auto"/>
          <w:spacing w:val="-10"/>
          <w:szCs w:val="21"/>
          <w:u w:val="single"/>
        </w:rPr>
        <w:t xml:space="preserve"> </w:t>
      </w:r>
      <w:r>
        <w:rPr>
          <w:rFonts w:hint="eastAsia"/>
          <w:b/>
          <w:color w:val="auto"/>
          <w:spacing w:val="-10"/>
          <w:szCs w:val="21"/>
          <w:u w:val="single"/>
          <w:lang w:val="en-US" w:eastAsia="zh-CN"/>
        </w:rPr>
        <w:t>2020</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lang w:val="en-US" w:eastAsia="zh-CN"/>
        </w:rPr>
        <w:t>3</w:t>
      </w:r>
      <w:r>
        <w:rPr>
          <w:rFonts w:hint="eastAsia"/>
          <w:b/>
          <w:color w:val="auto"/>
          <w:spacing w:val="-10"/>
          <w:szCs w:val="21"/>
        </w:rPr>
        <w:t>月</w:t>
      </w:r>
      <w:bookmarkStart w:id="4" w:name="OLE_LINK1"/>
      <w:r>
        <w:rPr>
          <w:rFonts w:hint="eastAsia"/>
          <w:b/>
          <w:color w:val="auto"/>
          <w:spacing w:val="-10"/>
          <w:szCs w:val="21"/>
          <w:u w:val="single"/>
          <w:lang w:val="en-US" w:eastAsia="zh-CN"/>
        </w:rPr>
        <w:t>10</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2021</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3</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numPr>
                <w:ilvl w:val="0"/>
                <w:numId w:val="0"/>
              </w:numPr>
              <w:rPr>
                <w:color w:val="000000"/>
                <w:szCs w:val="21"/>
              </w:rPr>
            </w:pPr>
            <w:r>
              <w:rPr>
                <w:color w:val="000000"/>
                <w:szCs w:val="21"/>
              </w:rPr>
              <w:t>湖南鹏恒信息科技有限公司</w:t>
            </w:r>
          </w:p>
          <w:p>
            <w:pPr>
              <w:numPr>
                <w:ilvl w:val="0"/>
                <w:numId w:val="0"/>
              </w:num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注册地址：湖南省长沙市天心区友谊路958号克拉美丽山庄5栋1602房</w:t>
            </w:r>
            <w:r>
              <w:rPr>
                <w:rFonts w:hint="default" w:ascii="宋体" w:hAnsi="宋体" w:eastAsia="宋体" w:cs="宋体"/>
                <w:bCs/>
                <w:color w:val="auto"/>
                <w:spacing w:val="10"/>
                <w:kern w:val="0"/>
                <w:sz w:val="21"/>
                <w:szCs w:val="21"/>
                <w:lang w:val="en-US" w:eastAsia="zh-CN" w:bidi="ar-SA"/>
              </w:rPr>
              <w:t> </w:t>
            </w:r>
            <w:r>
              <w:rPr>
                <w:rFonts w:hint="eastAsia" w:ascii="宋体" w:hAnsi="宋体" w:eastAsia="宋体" w:cs="宋体"/>
                <w:bCs/>
                <w:color w:val="auto"/>
                <w:spacing w:val="10"/>
                <w:kern w:val="0"/>
                <w:sz w:val="21"/>
                <w:szCs w:val="21"/>
                <w:lang w:val="en-US" w:eastAsia="zh-CN" w:bidi="ar-SA"/>
              </w:rPr>
              <w:t>。</w:t>
            </w:r>
          </w:p>
          <w:p>
            <w:p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查营业执照，统一社会信用代码：91430103MA4PXMHA7B</w:t>
            </w:r>
          </w:p>
          <w:p>
            <w:pPr>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成立日期：</w:t>
            </w:r>
            <w:r>
              <w:rPr>
                <w:rFonts w:ascii="Helvetica" w:hAnsi="Helvetica" w:eastAsia="Helvetica" w:cs="Helvetica"/>
                <w:i w:val="0"/>
                <w:caps w:val="0"/>
                <w:color w:val="333333"/>
                <w:spacing w:val="0"/>
                <w:sz w:val="14"/>
                <w:szCs w:val="14"/>
                <w:shd w:val="clear" w:fill="FFFFFF"/>
              </w:rPr>
              <w:t>2018-09-13 至 2068-09-12</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法人代表：</w:t>
            </w:r>
            <w:bookmarkStart w:id="5" w:name="联系人"/>
            <w:r>
              <w:t>廉东</w:t>
            </w:r>
            <w:bookmarkEnd w:id="5"/>
            <w:r>
              <w:rPr>
                <w:rFonts w:hint="eastAsia" w:ascii="宋体" w:hAnsi="宋体" w:eastAsia="宋体" w:cs="宋体"/>
                <w:bCs/>
                <w:color w:val="auto"/>
                <w:spacing w:val="10"/>
                <w:kern w:val="0"/>
                <w:sz w:val="21"/>
                <w:szCs w:val="21"/>
                <w:lang w:val="en-US" w:eastAsia="zh-CN" w:bidi="ar-SA"/>
              </w:rPr>
              <w:t> ，注册资本：</w:t>
            </w:r>
            <w:r>
              <w:rPr>
                <w:rFonts w:hint="eastAsia" w:ascii="宋体" w:hAnsi="宋体" w:cs="宋体"/>
                <w:bCs/>
                <w:color w:val="auto"/>
                <w:spacing w:val="10"/>
                <w:kern w:val="0"/>
                <w:sz w:val="21"/>
                <w:szCs w:val="21"/>
                <w:lang w:val="en-US" w:eastAsia="zh-CN" w:bidi="ar-SA"/>
              </w:rPr>
              <w:t>10</w:t>
            </w:r>
            <w:r>
              <w:rPr>
                <w:rFonts w:hint="eastAsia" w:ascii="宋体" w:hAnsi="宋体" w:eastAsia="宋体" w:cs="宋体"/>
                <w:bCs/>
                <w:color w:val="auto"/>
                <w:spacing w:val="10"/>
                <w:kern w:val="0"/>
                <w:sz w:val="21"/>
                <w:szCs w:val="21"/>
                <w:lang w:val="en-US" w:eastAsia="zh-CN" w:bidi="ar-SA"/>
              </w:rPr>
              <w:t>00.00万人民币</w:t>
            </w:r>
          </w:p>
          <w:p>
            <w:pPr>
              <w:pStyle w:val="10"/>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生产经营地址</w:t>
            </w:r>
            <w:r>
              <w:rPr>
                <w:rFonts w:hint="eastAsia" w:ascii="宋体" w:hAnsi="宋体" w:eastAsia="宋体" w:cs="宋体"/>
                <w:bCs/>
                <w:color w:val="auto"/>
                <w:spacing w:val="10"/>
                <w:kern w:val="0"/>
                <w:sz w:val="21"/>
                <w:szCs w:val="21"/>
                <w:lang w:val="en-US" w:eastAsia="zh-CN" w:bidi="ar-SA"/>
              </w:rPr>
              <w:tab/>
            </w:r>
            <w:r>
              <w:rPr>
                <w:rFonts w:hint="eastAsia" w:ascii="宋体" w:hAnsi="宋体" w:eastAsia="宋体" w:cs="宋体"/>
                <w:bCs/>
                <w:color w:val="auto"/>
                <w:spacing w:val="10"/>
                <w:kern w:val="0"/>
                <w:sz w:val="21"/>
                <w:szCs w:val="21"/>
                <w:lang w:val="en-US" w:eastAsia="zh-CN" w:bidi="ar-SA"/>
              </w:rPr>
              <w:t>湖南长沙天心区友谊路梦洁家居国际生活馆右边巷子3楼303室</w:t>
            </w:r>
          </w:p>
          <w:p>
            <w:pPr>
              <w:pStyle w:val="10"/>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营业执照范围：信息传输技术的研发及技术推广；计算机网络系统工程服务；计算机网络平台的开发及建设；通信基站技术咨询；企业管理咨询服务；广告设计；软件技术服务；智能电网技术咨询；电力信息系统的设计、开发、维护；信息系统集成服务；电气设备系统集成；大数据处理技术的研究、开发；区块链技术的研究、开发；人脸识别系统的研发；数字动漫制作；影视策划；数据加工预处理服务；计算机数据处理；数据采集、挖掘服务；人脸识别设备、计算机软件、计算机硬件、电力设备、通用仪器仪表、电子器材、计算机外围设备、计算机应用电子设备、电子仪器、电子产品、电源的销售；电力工程、动漫及衍生产品、多媒体的设计服务；光伏设备、电线、电缆的零售；广告制作服务、发布服务、国内代理服务；基础软件、应用软件、智能电网技术的开发。（依法须经批准的项目，经相关部门批准后方可开展经营活动）</w:t>
            </w:r>
          </w:p>
          <w:p>
            <w:pPr>
              <w:pStyle w:val="10"/>
              <w:rPr>
                <w:rFonts w:hint="eastAsia" w:ascii="宋体" w:hAnsi="宋体" w:eastAsia="宋体" w:cs="宋体"/>
                <w:bCs/>
                <w:color w:val="auto"/>
                <w:spacing w:val="10"/>
                <w:kern w:val="0"/>
                <w:sz w:val="21"/>
                <w:szCs w:val="21"/>
                <w:lang w:val="en-US" w:eastAsia="zh-CN" w:bidi="ar-SA"/>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pStyle w:val="10"/>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pStyle w:val="10"/>
              <w:rPr>
                <w:rFonts w:hint="eastAsia" w:ascii="宋体" w:hAnsi="宋体"/>
                <w:szCs w:val="21"/>
                <w:lang w:val="en-US" w:eastAsia="zh-CN"/>
              </w:rPr>
            </w:pPr>
            <w:r>
              <w:rPr>
                <w:rFonts w:hint="eastAsia" w:ascii="宋体" w:hAnsi="宋体"/>
                <w:szCs w:val="21"/>
              </w:rPr>
              <w:t xml:space="preserve">应用软件开发及维护服务；智能电网系统技术咨询 </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无不适用条款</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10"/>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对于企业的外包过程也进行了充分识别，公司</w:t>
            </w:r>
            <w:r>
              <w:rPr>
                <w:rFonts w:hint="eastAsia" w:asciiTheme="minorEastAsia" w:hAnsiTheme="minorEastAsia" w:eastAsiaTheme="minorEastAsia" w:cstheme="minorEastAsia"/>
                <w:b w:val="0"/>
                <w:bCs w:val="0"/>
                <w:sz w:val="21"/>
                <w:szCs w:val="21"/>
                <w:lang w:eastAsia="zh-CN"/>
              </w:rPr>
              <w:t>无</w:t>
            </w:r>
            <w:r>
              <w:rPr>
                <w:rFonts w:hint="eastAsia" w:asciiTheme="minorEastAsia" w:hAnsiTheme="minorEastAsia" w:eastAsiaTheme="minorEastAsia" w:cstheme="minorEastAsia"/>
                <w:b w:val="0"/>
                <w:bCs w:val="0"/>
                <w:sz w:val="21"/>
                <w:szCs w:val="21"/>
              </w:rPr>
              <w:t>外包</w:t>
            </w:r>
            <w:r>
              <w:rPr>
                <w:rFonts w:hint="eastAsia" w:asciiTheme="minorEastAsia" w:hAnsiTheme="minorEastAsia" w:eastAsiaTheme="minorEastAsia" w:cstheme="minorEastAsia"/>
                <w:b w:val="0"/>
                <w:bCs w:val="0"/>
                <w:sz w:val="21"/>
                <w:szCs w:val="21"/>
                <w:lang w:eastAsia="zh-CN"/>
              </w:rPr>
              <w:t>过程</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经充分考虑本组织特点，公司的质量方针是：</w:t>
            </w:r>
          </w:p>
          <w:p>
            <w:pPr>
              <w:rPr>
                <w:rFonts w:hint="eastAsia"/>
              </w:rPr>
            </w:pPr>
            <w:r>
              <w:rPr>
                <w:rFonts w:hint="eastAsia"/>
              </w:rPr>
              <w:t>科学管理，诚信服务，确保顾客满意；</w:t>
            </w:r>
          </w:p>
          <w:p>
            <w:pPr>
              <w:rPr>
                <w:rFonts w:hint="eastAsia"/>
              </w:rPr>
            </w:pPr>
            <w:r>
              <w:rPr>
                <w:rFonts w:hint="eastAsia"/>
              </w:rPr>
              <w:t>以人为本，持续改进，促进公司发展。</w:t>
            </w:r>
          </w:p>
          <w:p>
            <w:pPr>
              <w:pStyle w:val="10"/>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w:t>
            </w:r>
            <w:r>
              <w:rPr>
                <w:rFonts w:hint="eastAsia"/>
                <w:lang w:val="en-US" w:eastAsia="zh-CN"/>
              </w:rPr>
              <w:t>2020</w:t>
            </w:r>
            <w:r>
              <w:rPr>
                <w:rFonts w:hint="eastAsia"/>
              </w:rPr>
              <w:t>年度 SWOT经营环境分析及对策报告”，对影响公司经营和发展的各种因素（内外部环境、相关方要求等）进行分析，确定需要应对的风险和机遇</w:t>
            </w:r>
          </w:p>
          <w:p>
            <w:pPr>
              <w:pStyle w:val="10"/>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rPr>
            </w:pPr>
            <w:r>
              <w:rPr>
                <w:rFonts w:hint="eastAsia"/>
              </w:rPr>
              <w:t>软件开发及维护服务：顾客沟通-顾客立项-立项评审-招投标-签订合同-召开启动会-出建设方案-业务调研-资料收集-业务分析-出实施、技术方案-需求分析-概要设计-详细设计数模构建-可视化研发-业务测试-功能优化-上线试运行-正式库上线发布运行-交付使用-后期运维-顾客验收---后期维护服务----客户沟通-----系统维护--升级--测试---客户验收</w:t>
            </w:r>
          </w:p>
          <w:p>
            <w:pPr>
              <w:rPr>
                <w:rFonts w:hint="eastAsia"/>
              </w:rPr>
            </w:pPr>
            <w:r>
              <w:rPr>
                <w:rFonts w:hint="eastAsia"/>
              </w:rPr>
              <w:t>技术咨询服务：顾客沟通-顾客立项-立项评审-招投标-签订合同-业务调研-资料收集-业务分析-出技术咨询方案-编辑报告-报告评审-修改-客户评价验收</w:t>
            </w:r>
          </w:p>
          <w:p>
            <w:pPr>
              <w:pStyle w:val="10"/>
              <w:rPr>
                <w:rFonts w:hint="eastAsia"/>
              </w:rPr>
            </w:pP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中关键过程有</w:t>
            </w:r>
            <w:r>
              <w:rPr>
                <w:rFonts w:hint="eastAsia" w:ascii="宋体" w:hAnsi="宋体"/>
                <w:b/>
                <w:color w:val="000000" w:themeColor="text1"/>
                <w:sz w:val="20"/>
                <w:szCs w:val="20"/>
                <w:u w:val="single"/>
              </w:rPr>
              <w:t xml:space="preserve">    </w:t>
            </w:r>
            <w:r>
              <w:rPr>
                <w:rFonts w:hint="eastAsia"/>
                <w:b/>
                <w:bCs/>
              </w:rPr>
              <w:t>软件开发及维护服务</w:t>
            </w:r>
            <w:r>
              <w:rPr>
                <w:rFonts w:hint="eastAsia"/>
                <w:b/>
                <w:bCs/>
                <w:lang w:val="en-US" w:eastAsia="zh-CN"/>
              </w:rPr>
              <w:t>过程</w:t>
            </w:r>
            <w:r>
              <w:rPr>
                <w:rFonts w:hint="eastAsia"/>
                <w:b/>
                <w:bCs/>
                <w:lang w:eastAsia="zh-CN"/>
              </w:rPr>
              <w:t>、</w:t>
            </w:r>
            <w:r>
              <w:rPr>
                <w:rFonts w:hint="eastAsia"/>
                <w:b/>
                <w:bCs/>
              </w:rPr>
              <w:t>技术咨询服务</w:t>
            </w:r>
            <w:r>
              <w:rPr>
                <w:rFonts w:hint="eastAsia"/>
                <w:b/>
                <w:bCs/>
                <w:lang w:val="en-US" w:eastAsia="zh-CN"/>
              </w:rPr>
              <w:t>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b/>
                <w:bCs/>
              </w:rPr>
              <w:t>软件开发及维护服务</w:t>
            </w:r>
            <w:r>
              <w:rPr>
                <w:rFonts w:hint="eastAsia"/>
                <w:b/>
                <w:bCs/>
                <w:lang w:val="en-US" w:eastAsia="zh-CN"/>
              </w:rPr>
              <w:t>过程</w:t>
            </w:r>
            <w:r>
              <w:rPr>
                <w:rFonts w:hint="eastAsia"/>
                <w:b/>
                <w:bCs/>
                <w:lang w:eastAsia="zh-CN"/>
              </w:rPr>
              <w:t>、</w:t>
            </w:r>
            <w:r>
              <w:rPr>
                <w:rFonts w:hint="eastAsia"/>
                <w:b/>
                <w:bCs/>
              </w:rPr>
              <w:t>技术咨询服务</w:t>
            </w:r>
            <w:r>
              <w:rPr>
                <w:rFonts w:hint="eastAsia"/>
                <w:b/>
                <w:bCs/>
                <w:lang w:val="en-US" w:eastAsia="zh-CN"/>
              </w:rPr>
              <w:t>过程</w:t>
            </w:r>
          </w:p>
          <w:p>
            <w:pPr>
              <w:rPr>
                <w:rFonts w:hint="default"/>
                <w:lang w:val="en-US" w:eastAsia="zh-CN"/>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无</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80</w:t>
            </w:r>
            <w:r>
              <w:rPr>
                <w:rFonts w:hint="eastAsia" w:ascii="宋体" w:hAnsi="宋体"/>
                <w:b/>
                <w:color w:val="000000" w:themeColor="text1"/>
                <w:szCs w:val="21"/>
              </w:rPr>
              <w:t>项，</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sym w:font="Wingdings" w:char="00A8"/>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0"/>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0"/>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0"/>
            </w:pPr>
          </w:p>
          <w:p>
            <w:pPr>
              <w:rPr>
                <w:rFonts w:hint="default" w:ascii="宋体" w:hAnsi="宋体" w:eastAsia="宋体"/>
                <w:b/>
                <w:color w:val="000000" w:themeColor="text1"/>
                <w:sz w:val="20"/>
                <w:szCs w:val="20"/>
                <w:lang w:val="en-US" w:eastAsia="zh-CN"/>
              </w:rPr>
            </w:pPr>
            <w:r>
              <w:rPr>
                <w:rFonts w:hint="eastAsia"/>
                <w:bCs/>
                <w:szCs w:val="21"/>
              </w:rPr>
              <w:t>该公司员工共</w:t>
            </w:r>
            <w:r>
              <w:rPr>
                <w:rFonts w:hint="eastAsia"/>
                <w:bCs/>
                <w:szCs w:val="21"/>
                <w:lang w:val="en-US" w:eastAsia="zh-CN"/>
              </w:rPr>
              <w:t>23</w:t>
            </w:r>
            <w:r>
              <w:rPr>
                <w:rFonts w:hint="eastAsia"/>
                <w:bCs/>
                <w:szCs w:val="21"/>
              </w:rPr>
              <w:t>人，管理人员</w:t>
            </w:r>
            <w:r>
              <w:rPr>
                <w:rFonts w:hint="eastAsia"/>
                <w:bCs/>
                <w:color w:val="auto"/>
                <w:szCs w:val="21"/>
                <w:lang w:val="en-US" w:eastAsia="zh-CN"/>
              </w:rPr>
              <w:t>4</w:t>
            </w:r>
            <w:r>
              <w:rPr>
                <w:rFonts w:hint="eastAsia"/>
                <w:bCs/>
                <w:color w:val="auto"/>
                <w:szCs w:val="21"/>
              </w:rPr>
              <w:t>人。有专业的</w:t>
            </w:r>
            <w:r>
              <w:rPr>
                <w:rFonts w:hint="eastAsia"/>
                <w:bCs/>
                <w:color w:val="auto"/>
                <w:szCs w:val="21"/>
                <w:lang w:eastAsia="zh-CN"/>
              </w:rPr>
              <w:t>技术人员、销售人员</w:t>
            </w:r>
            <w:r>
              <w:rPr>
                <w:rFonts w:hint="eastAsia"/>
                <w:bCs/>
                <w:color w:val="auto"/>
                <w:szCs w:val="21"/>
              </w:rPr>
              <w:t>，能</w:t>
            </w:r>
            <w:r>
              <w:rPr>
                <w:rFonts w:hint="eastAsia"/>
                <w:bCs/>
                <w:color w:val="auto"/>
                <w:szCs w:val="21"/>
                <w:lang w:eastAsia="zh-CN"/>
              </w:rPr>
              <w:t>满足</w:t>
            </w:r>
            <w:r>
              <w:rPr>
                <w:rFonts w:hint="eastAsia" w:ascii="宋体" w:hAnsi="宋体"/>
                <w:szCs w:val="21"/>
              </w:rPr>
              <w:t xml:space="preserve">应用软件开发及维护服务；智能电网系统技术咨询 </w:t>
            </w:r>
            <w:r>
              <w:rPr>
                <w:rFonts w:hint="eastAsia" w:ascii="宋体" w:hAnsi="宋体"/>
                <w:szCs w:val="21"/>
                <w:lang w:val="en-US" w:eastAsia="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。提供维修保养计划及记录，满足要求。</w:t>
            </w:r>
          </w:p>
          <w:p>
            <w:pPr>
              <w:rPr>
                <w:rFonts w:hint="eastAsia"/>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rPr>
              <w:t>设计用到 Photoshop，开发用到eclipse，etl等软件工具，运维用到oracle，及 plsql developer 工具</w:t>
            </w:r>
          </w:p>
          <w:p>
            <w:pPr>
              <w:rPr>
                <w:rFonts w:hint="default" w:eastAsia="宋体"/>
                <w:lang w:val="en-US" w:eastAsia="zh-CN"/>
              </w:rPr>
            </w:pPr>
          </w:p>
          <w:p>
            <w:pPr>
              <w:rPr>
                <w:rFonts w:hint="default"/>
                <w:b w:val="0"/>
                <w:bCs w:val="0"/>
                <w:lang w:val="en-US" w:eastAsia="zh-CN"/>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lang w:val="en-US" w:eastAsia="zh-CN"/>
              </w:rPr>
              <w:t>远程</w:t>
            </w:r>
            <w:r>
              <w:rPr>
                <w:rFonts w:hint="eastAsia"/>
              </w:rPr>
              <w:t>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10"/>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10"/>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0"/>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p>
          <w:p>
            <w:pPr>
              <w:spacing w:line="240" w:lineRule="exact"/>
              <w:rPr>
                <w:rFonts w:ascii="楷体_GB2312" w:eastAsia="楷体_GB2312"/>
                <w:b/>
                <w:szCs w:val="21"/>
              </w:rPr>
            </w:pPr>
            <w:r>
              <w:rPr>
                <w:rFonts w:hint="eastAsia" w:ascii="楷体_GB2312" w:eastAsia="楷体_GB2312"/>
                <w:b/>
                <w:szCs w:val="21"/>
              </w:rPr>
              <w:t>OHSMS事务代表协商和交流的情况（OHSMS填写）：</w:t>
            </w:r>
            <w:r>
              <w:rPr>
                <w:rFonts w:hint="eastAsia"/>
                <w:bCs/>
                <w:szCs w:val="21"/>
              </w:rPr>
              <w:t>，</w:t>
            </w: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pPr>
              <w:pStyle w:val="10"/>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b/>
                <w:bCs/>
              </w:rPr>
              <w:t>软件开发及维护服务</w:t>
            </w:r>
            <w:r>
              <w:rPr>
                <w:rFonts w:hint="eastAsia"/>
                <w:b/>
                <w:bCs/>
                <w:lang w:val="en-US" w:eastAsia="zh-CN"/>
              </w:rPr>
              <w:t>过程</w:t>
            </w:r>
            <w:r>
              <w:rPr>
                <w:rFonts w:hint="eastAsia"/>
                <w:b/>
                <w:bCs/>
                <w:lang w:eastAsia="zh-CN"/>
              </w:rPr>
              <w:t>、</w:t>
            </w:r>
            <w:r>
              <w:rPr>
                <w:rFonts w:hint="eastAsia"/>
                <w:b/>
                <w:bCs/>
              </w:rPr>
              <w:t>技术咨询服务</w:t>
            </w:r>
            <w:r>
              <w:rPr>
                <w:rFonts w:hint="eastAsia"/>
                <w:b/>
                <w:bCs/>
                <w:lang w:val="en-US" w:eastAsia="zh-CN"/>
              </w:rPr>
              <w:t>过程</w:t>
            </w:r>
            <w:r>
              <w:rPr>
                <w:rFonts w:hint="eastAsia"/>
                <w:bCs/>
                <w:szCs w:val="21"/>
              </w:rPr>
              <w:t>为特殊过程，公司制定了“特殊过程评审、确认准则”，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10"/>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10"/>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p>
          <w:p>
            <w:pPr>
              <w:pStyle w:val="10"/>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2020年3-6</w:t>
            </w:r>
            <w:r>
              <w:rPr>
                <w:rFonts w:hint="eastAsia"/>
              </w:rPr>
              <w:t>月目标的测量，总体已达到或超过了规定的目标值。</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月实施，满意度评价</w:t>
            </w:r>
            <w:r>
              <w:rPr>
                <w:rFonts w:hint="eastAsia" w:ascii="宋体" w:hAnsi="宋体" w:cs="宋体"/>
                <w:szCs w:val="21"/>
                <w:highlight w:val="none"/>
                <w:lang w:val="en-US" w:eastAsia="zh-CN"/>
              </w:rPr>
              <w:t>99</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lang w:eastAsia="zh-CN"/>
              </w:rPr>
              <w:t>一阶段问题：</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 xml:space="preserve"> </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ascii="宋体" w:hAnsi="宋体"/>
                <w:b/>
                <w:color w:val="000000" w:themeColor="text1"/>
                <w:spacing w:val="-10"/>
                <w:sz w:val="22"/>
                <w:szCs w:val="21"/>
              </w:rPr>
              <w:sym w:font="Wingdings 2" w:char="00A3"/>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2" w:char="00A3"/>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rFonts w:hint="eastAsia" w:ascii="宋体" w:hAnsi="宋体" w:eastAsia="宋体" w:cs="宋体"/>
                <w:b/>
                <w:color w:val="000000" w:themeColor="text1"/>
                <w:spacing w:val="-10"/>
                <w:sz w:val="22"/>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u w:val="single"/>
              </w:rPr>
              <w:t>湖南鹏恒信息科技有限公司</w:t>
            </w:r>
            <w:r>
              <w:rPr>
                <w:rFonts w:hint="eastAsia"/>
                <w:color w:val="000000"/>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b/>
                <w:color w:val="000000" w:themeColor="text1"/>
                <w:sz w:val="22"/>
                <w:szCs w:val="22"/>
              </w:rPr>
            </w:pP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本次补充审核现场开具了一项不符合，现场及时整改完毕，整改有效，审核基本达到审核要求，</w:t>
            </w:r>
            <w:r>
              <w:rPr>
                <w:rFonts w:hint="eastAsia"/>
              </w:rPr>
              <w:t>同意推荐认证注册。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rPr>
                <w:rFonts w:hint="default" w:eastAsia="宋体"/>
                <w:b/>
                <w:color w:val="000000" w:themeColor="text1"/>
                <w:spacing w:val="-10"/>
                <w:szCs w:val="21"/>
                <w:lang w:val="en-US" w:eastAsia="zh-CN"/>
              </w:rPr>
            </w:pPr>
            <w:r>
              <w:rPr>
                <w:rFonts w:hint="eastAsia"/>
                <w:b/>
                <w:color w:val="000000" w:themeColor="text1"/>
                <w:spacing w:val="-10"/>
                <w:szCs w:val="21"/>
                <w:lang w:val="en-US" w:eastAsia="zh-CN"/>
              </w:rPr>
              <w:t>QMS:</w:t>
            </w:r>
            <w:r>
              <w:rPr>
                <w:rFonts w:hint="eastAsia" w:ascii="宋体" w:hAnsi="宋体"/>
                <w:szCs w:val="21"/>
              </w:rPr>
              <w:t xml:space="preserve">应用软件开发及维护服务；智能电网系统技术咨询 </w:t>
            </w:r>
          </w:p>
          <w:p>
            <w:pPr>
              <w:rPr>
                <w:rFonts w:hint="eastAsia"/>
                <w:b/>
                <w:color w:val="000000" w:themeColor="text1"/>
                <w:spacing w:val="-10"/>
                <w:szCs w:val="21"/>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bCs/>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Lines="50" w:afterLines="50"/>
        <w:ind w:left="66" w:leftChars="-405" w:hanging="916" w:hangingChars="326"/>
        <w:jc w:val="left"/>
        <w:rPr>
          <w:rFonts w:hint="default" w:eastAsia="宋体"/>
          <w:b/>
          <w:color w:val="000000" w:themeColor="text1"/>
          <w:sz w:val="28"/>
          <w:szCs w:val="28"/>
          <w:lang w:val="en-US" w:eastAsia="zh-CN"/>
        </w:rPr>
      </w:pPr>
      <w:r>
        <w:rPr>
          <w:rFonts w:hint="eastAsia"/>
          <w:b/>
          <w:color w:val="000000" w:themeColor="text1"/>
          <w:sz w:val="28"/>
          <w:szCs w:val="28"/>
          <w:lang w:val="en-US" w:eastAsia="zh-CN"/>
        </w:rPr>
        <w:t>因疫情原因本次审核为远程审核，没有开具不符合，待疫情结束后，择日安排现场审核，对此次远程审核进行核验</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2021</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22</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t>▇</w:t>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EMS(  )个一般不符合，(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 xml:space="preserve"> </w:t>
      </w:r>
      <w:bookmarkStart w:id="6" w:name="_GoBack"/>
      <w:bookmarkEnd w:id="6"/>
      <w:r>
        <w:rPr>
          <w:rFonts w:hint="eastAsia"/>
          <w:b/>
          <w:color w:val="000000" w:themeColor="text1"/>
          <w:szCs w:val="21"/>
        </w:rPr>
        <w:t xml:space="preserve">年  </w:t>
      </w:r>
      <w:r>
        <w:rPr>
          <w:rFonts w:hint="eastAsia"/>
          <w:b/>
          <w:color w:val="000000" w:themeColor="text1"/>
          <w:szCs w:val="21"/>
          <w:lang w:val="en-US" w:eastAsia="zh-CN"/>
        </w:rPr>
        <w:t>3</w:t>
      </w:r>
      <w:r>
        <w:rPr>
          <w:rFonts w:hint="eastAsia"/>
          <w:b/>
          <w:color w:val="000000" w:themeColor="text1"/>
          <w:szCs w:val="21"/>
        </w:rPr>
        <w:t xml:space="preserve">月  </w:t>
      </w:r>
      <w:r>
        <w:rPr>
          <w:rFonts w:hint="eastAsia"/>
          <w:b/>
          <w:color w:val="000000" w:themeColor="text1"/>
          <w:szCs w:val="21"/>
          <w:lang w:val="en-US" w:eastAsia="zh-CN"/>
        </w:rPr>
        <w:t>22</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23315CB"/>
    <w:rsid w:val="09BB7227"/>
    <w:rsid w:val="0BEA5AFC"/>
    <w:rsid w:val="0D441B7C"/>
    <w:rsid w:val="0FA36ED6"/>
    <w:rsid w:val="13BD568C"/>
    <w:rsid w:val="14E11A4F"/>
    <w:rsid w:val="1AEA3F06"/>
    <w:rsid w:val="1C440198"/>
    <w:rsid w:val="21611269"/>
    <w:rsid w:val="24F917BD"/>
    <w:rsid w:val="28816B4E"/>
    <w:rsid w:val="29B965E4"/>
    <w:rsid w:val="2BC56BA9"/>
    <w:rsid w:val="2DC643E3"/>
    <w:rsid w:val="34345D17"/>
    <w:rsid w:val="3B126833"/>
    <w:rsid w:val="3C6210A8"/>
    <w:rsid w:val="4A577766"/>
    <w:rsid w:val="4B4A3A22"/>
    <w:rsid w:val="5CDD1C2D"/>
    <w:rsid w:val="68094112"/>
    <w:rsid w:val="68613608"/>
    <w:rsid w:val="710307B1"/>
    <w:rsid w:val="7A3A032B"/>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Char"/>
    <w:basedOn w:val="8"/>
    <w:link w:val="2"/>
    <w:semiHidden/>
    <w:qFormat/>
    <w:uiPriority w:val="99"/>
    <w:rPr>
      <w:rFonts w:ascii="Times New Roman" w:hAnsi="Times New Roman" w:eastAsia="宋体" w:cs="Times New Roman"/>
      <w:sz w:val="18"/>
      <w:szCs w:val="18"/>
    </w:rPr>
  </w:style>
  <w:style w:type="character" w:customStyle="1" w:styleId="13">
    <w:name w:val="页脚 Char"/>
    <w:basedOn w:val="8"/>
    <w:link w:val="4"/>
    <w:semiHidden/>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807</Words>
  <Characters>4604</Characters>
  <Lines>38</Lines>
  <Paragraphs>10</Paragraphs>
  <TotalTime>0</TotalTime>
  <ScaleCrop>false</ScaleCrop>
  <LinksUpToDate>false</LinksUpToDate>
  <CharactersWithSpaces>5401</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2019-07-17T08:05:00Z</cp:lastPrinted>
  <dcterms:modified xsi:type="dcterms:W3CDTF">2021-03-22T07:05:14Z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3E8D535DC333455F93DCE964C5ADABC2</vt:lpwstr>
  </property>
</Properties>
</file>