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Q:监查2,E:监查1,O:监查1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成都宏强科技有限公司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刘学军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400" w:lineRule="exact"/>
              <w:ind w:firstLine="525" w:firstLineChars="25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查法律法规清单中，中华人民共和国固体废物污染环境防治法、中华人民共和国合同法等未及时更新，不符合。不符合标准ES6.1.3组织应保持其合规义务的文件化信息。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bookmarkStart w:id="7" w:name="_GoBack"/>
            <w:bookmarkEnd w:id="7"/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2974340</wp:posOffset>
                  </wp:positionH>
                  <wp:positionV relativeFrom="paragraph">
                    <wp:posOffset>33020</wp:posOffset>
                  </wp:positionV>
                  <wp:extent cx="323850" cy="335280"/>
                  <wp:effectExtent l="0" t="0" r="11430" b="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626745</wp:posOffset>
                  </wp:positionH>
                  <wp:positionV relativeFrom="paragraph">
                    <wp:posOffset>69850</wp:posOffset>
                  </wp:positionV>
                  <wp:extent cx="544830" cy="248920"/>
                  <wp:effectExtent l="0" t="0" r="3810" b="1016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1962D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2021-03-23T05:41:10Z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F8A6A1CEACAC4A32805036FACAF7D87B</vt:lpwstr>
  </property>
</Properties>
</file>