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21350-2025-QE</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山东奥凯美化学有限公司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姜海军</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9137070076577450XY</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GB/T19001-2016/ISO9001:2015、GB/T 24001-2016/ISO14001:2015</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山东奥凯美化学有限公司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潍坊高新区东方路2577号（华润发展大厦A座18层，仅限办公场所）</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潍坊高新区东方路2577号（华润发展大厦A座18层）</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Q:化工产品的进出口及销售(限许可范围内)</w:t>
            </w:r>
          </w:p>
          <w:p>
            <w:pPr>
              <w:snapToGrid w:val="0"/>
              <w:spacing w:line="0" w:lineRule="atLeast"/>
              <w:jc w:val="left"/>
              <w:rPr>
                <w:rFonts w:hint="eastAsia"/>
                <w:sz w:val="21"/>
                <w:szCs w:val="21"/>
                <w:lang w:val="en-GB"/>
              </w:rPr>
            </w:pPr>
            <w:r>
              <w:rPr>
                <w:rFonts w:hint="eastAsia"/>
                <w:sz w:val="21"/>
                <w:szCs w:val="21"/>
                <w:lang w:val="en-GB"/>
              </w:rPr>
              <w:t>E:化工产品的进出口及销售(限许可范围内)所涉及场所的相关环境管理活动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山东奥凯美化学有限公司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潍坊高新区东方路2577号（华润发展大厦A座18层，仅限办公场所）</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潍坊高新区东方路2577号（华润发展大厦A座18层）</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Q:化工产品的进出口及销售(限许可范围内)</w:t>
            </w:r>
          </w:p>
          <w:p>
            <w:pPr>
              <w:snapToGrid w:val="0"/>
              <w:spacing w:line="0" w:lineRule="atLeast"/>
              <w:jc w:val="left"/>
              <w:rPr>
                <w:rFonts w:hint="eastAsia"/>
                <w:sz w:val="21"/>
                <w:szCs w:val="21"/>
                <w:lang w:val="en-GB"/>
              </w:rPr>
            </w:pPr>
            <w:r>
              <w:rPr>
                <w:rFonts w:hint="eastAsia"/>
                <w:sz w:val="21"/>
                <w:szCs w:val="21"/>
                <w:lang w:val="en-GB"/>
              </w:rPr>
              <w:t>E:化工产品的进出口及销售(限许可范围内)所涉及场所的相关环境管理活动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92489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