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四川盛世中诚电力工程有限公司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21978-2025-EnMS</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成都市青羊区泡桐树街24号附3号1层</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成都市锦江区东大路333号香港置地光环中心T1写字楼811</w:t>
            </w:r>
          </w:p>
          <w:p w14:paraId="322509B6">
            <w:pPr>
              <w:snapToGrid w:val="0"/>
              <w:spacing w:line="0" w:lineRule="atLeast"/>
              <w:jc w:val="left"/>
            </w:pPr>
            <w:r>
              <w:rPr>
                <w:rFonts w:hint="eastAsia"/>
                <w:sz w:val="21"/>
                <w:szCs w:val="21"/>
              </w:rPr>
              <w:t>成都轨道交通18号线三期工程 四川省成都市简阳市简城街道毛家咀</w:t>
            </w: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封婷</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17738981329</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16</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1249529800@qq.com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2025年12月08日 13:30至2025年12月08日 17:30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能源管理体系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23331-2020/ISO 50001 : 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EnMS:资质范围内的电力工程施工及相关能源管理活动所涉及的能源管理活动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2.10</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陈伟</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2025-N1EnMS-1265256</w:t>
            </w:r>
          </w:p>
        </w:tc>
        <w:tc>
          <w:tcPr>
            <w:tcW w:w="3684" w:type="dxa"/>
            <w:gridSpan w:val="9"/>
            <w:vAlign w:val="center"/>
          </w:tcPr>
          <w:p w14:paraId="69711AD9">
            <w:pPr>
              <w:jc w:val="center"/>
              <w:rPr>
                <w:sz w:val="21"/>
                <w:szCs w:val="21"/>
              </w:rPr>
            </w:pPr>
            <w:r>
              <w:t>2.10</w:t>
            </w:r>
          </w:p>
        </w:tc>
        <w:tc>
          <w:tcPr>
            <w:tcW w:w="1560" w:type="dxa"/>
            <w:gridSpan w:val="2"/>
            <w:vAlign w:val="center"/>
          </w:tcPr>
          <w:p w14:paraId="27CBF787">
            <w:pPr>
              <w:jc w:val="center"/>
              <w:rPr>
                <w:sz w:val="21"/>
                <w:szCs w:val="21"/>
              </w:rPr>
            </w:pPr>
            <w:r>
              <w:t>18244225770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宋明珠</w:t>
            </w:r>
          </w:p>
        </w:tc>
        <w:tc>
          <w:tcPr>
            <w:tcW w:w="850" w:type="dxa"/>
            <w:vAlign w:val="center"/>
          </w:tcPr>
          <w:p>
            <w:pPr>
              <w:jc w:val="center"/>
            </w:pPr>
            <w:r>
              <w:t>男</w:t>
            </w:r>
          </w:p>
        </w:tc>
        <w:tc>
          <w:tcPr>
            <w:tcW w:w="2699" w:type="dxa"/>
            <w:gridSpan w:val="4"/>
            <w:vAlign w:val="center"/>
          </w:tcPr>
          <w:p>
            <w:pPr>
              <w:jc w:val="both"/>
            </w:pPr>
            <w:r>
              <w:t>2024-N1EnMS-1247783</w:t>
            </w:r>
          </w:p>
        </w:tc>
        <w:tc>
          <w:tcPr>
            <w:tcW w:w="3684" w:type="dxa"/>
            <w:gridSpan w:val="9"/>
            <w:vAlign w:val="center"/>
          </w:tcPr>
          <w:p>
            <w:pPr>
              <w:jc w:val="center"/>
            </w:pPr>
          </w:p>
        </w:tc>
        <w:tc>
          <w:tcPr>
            <w:tcW w:w="1560" w:type="dxa"/>
            <w:gridSpan w:val="2"/>
            <w:vAlign w:val="center"/>
          </w:tcPr>
          <w:p>
            <w:pPr>
              <w:jc w:val="center"/>
            </w:pPr>
            <w:r>
              <w:t>15828228251</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颜晔</w:t>
            </w:r>
          </w:p>
        </w:tc>
        <w:tc>
          <w:tcPr>
            <w:tcW w:w="850" w:type="dxa"/>
            <w:vAlign w:val="center"/>
          </w:tcPr>
          <w:p>
            <w:pPr>
              <w:jc w:val="center"/>
            </w:pPr>
            <w:r>
              <w:t>男</w:t>
            </w:r>
          </w:p>
        </w:tc>
        <w:tc>
          <w:tcPr>
            <w:tcW w:w="2699" w:type="dxa"/>
            <w:gridSpan w:val="4"/>
            <w:vAlign w:val="center"/>
          </w:tcPr>
          <w:p>
            <w:pPr>
              <w:jc w:val="both"/>
            </w:pPr>
            <w:r>
              <w:t>2023-N1EnMS-4096265</w:t>
            </w:r>
          </w:p>
        </w:tc>
        <w:tc>
          <w:tcPr>
            <w:tcW w:w="3684" w:type="dxa"/>
            <w:gridSpan w:val="9"/>
            <w:vAlign w:val="center"/>
          </w:tcPr>
          <w:p>
            <w:pPr>
              <w:jc w:val="center"/>
            </w:pPr>
            <w:r>
              <w:t>2.10</w:t>
            </w:r>
          </w:p>
        </w:tc>
        <w:tc>
          <w:tcPr>
            <w:tcW w:w="1560" w:type="dxa"/>
            <w:gridSpan w:val="2"/>
            <w:vAlign w:val="center"/>
          </w:tcPr>
          <w:p>
            <w:pPr>
              <w:jc w:val="center"/>
            </w:pPr>
            <w:r>
              <w:t>13702574066</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2025-12-04</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935997"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陈伟</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7956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