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谷城兴发新材料有限公司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10596-2025-EnMS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湖北谷城县南河镇三叉村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襄阳市谷城县城关镇谷城经济开发区鲍家湾工业园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吕文斌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18871702897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18871702897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</w:t>
            </w:r>
            <w:bookmarkStart w:id="15" w:name="_GoBack"/>
            <w:r>
              <w:rPr>
                <w:rFonts w:hint="eastAsia"/>
                <w:sz w:val="21"/>
                <w:szCs w:val="21"/>
              </w:rPr>
              <w:t>资质许可范围内地面用光伏组件密封材料中边框密封剂、地面用光伏组件密封材料中接线盒灌封剂的生产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所涉及的能源管理活动</w:t>
            </w:r>
            <w:bookmarkEnd w:id="15"/>
          </w:p>
          <w:p w14:paraId="46EA09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646F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6A4CC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F896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480736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266052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302783">
            <w:pPr>
              <w:jc w:val="both"/>
            </w:pPr>
            <w:r>
              <w:t>2024-N0EnMS-1307928</w:t>
            </w:r>
          </w:p>
        </w:tc>
        <w:tc>
          <w:tcPr>
            <w:tcW w:w="3684" w:type="dxa"/>
            <w:gridSpan w:val="9"/>
            <w:vAlign w:val="center"/>
          </w:tcPr>
          <w:p w14:paraId="314563F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9E4DBBF">
            <w:pPr>
              <w:jc w:val="center"/>
            </w:pPr>
            <w:r>
              <w:t>13307101600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B14F99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0C1565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1303</Characters>
  <Lines>11</Lines>
  <Paragraphs>3</Paragraphs>
  <TotalTime>0</TotalTime>
  <ScaleCrop>false</ScaleCrop>
  <LinksUpToDate>false</LinksUpToDate>
  <CharactersWithSpaces>1346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2025-05-20T05:58:51Z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