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四川欣祥科技有限公司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O：12.05.04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Q：12.05.04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E：12.05.04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O：12.05.04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李林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宋明珠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生产计划单——配料——混合搅拌——检测——储罐储存——交付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配料为关键过程。无特殊工序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配料、混合搅拌控制配方、投放顺序及搅拌时间。存在风险：配方控制不当造成批量质量不合格。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spacing w:line="4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潜在火灾、固废排放、噪声排放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，采取分类收集、管理方案和预案措施管理。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火灾、触电、机械伤害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，采取制定管理方案控制，火灾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和触电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采取应急预案并演练方式进行控制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中华人民共和国产品质量法、</w:t>
            </w:r>
            <w:r>
              <w:rPr>
                <w:rFonts w:ascii="宋体" w:hAnsi="宋体"/>
                <w:sz w:val="21"/>
                <w:szCs w:val="21"/>
              </w:rPr>
              <w:t>GB 8076-2008</w:t>
            </w:r>
            <w:r>
              <w:rPr>
                <w:rFonts w:hint="eastAsia" w:ascii="宋体" w:hAnsi="宋体"/>
                <w:sz w:val="21"/>
                <w:szCs w:val="21"/>
              </w:rPr>
              <w:t>《混凝土外加剂规范》、合同协议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有型式试验要求，检验项目：减水率、固体含量、泌水率、凝结时间、抗压强度等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79375</wp:posOffset>
            </wp:positionV>
            <wp:extent cx="704215" cy="440690"/>
            <wp:effectExtent l="0" t="0" r="12065" b="1270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79375</wp:posOffset>
            </wp:positionV>
            <wp:extent cx="704215" cy="440690"/>
            <wp:effectExtent l="0" t="0" r="12065" b="1270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4644390</wp:posOffset>
            </wp:positionV>
            <wp:extent cx="704215" cy="440690"/>
            <wp:effectExtent l="0" t="0" r="12065" b="1270"/>
            <wp:wrapNone/>
            <wp:docPr id="1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新文档 2020-01-09 10.59.53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1"/>
          <w:szCs w:val="21"/>
          <w:lang w:val="en-US" w:eastAsia="zh-CN"/>
        </w:rPr>
        <w:t>2021.3.25</w:t>
      </w:r>
      <w:r>
        <w:rPr>
          <w:rFonts w:ascii="宋体"/>
          <w:b/>
          <w:sz w:val="22"/>
          <w:szCs w:val="22"/>
        </w:rPr>
        <w:t xml:space="preserve">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2021.3.25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F7C378D"/>
    <w:rsid w:val="412860B6"/>
    <w:rsid w:val="5CE1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2021-03-20T03:27:57Z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