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楷体" w:hAnsi="楷体" w:eastAsia="楷体"/>
          <w:bCs/>
          <w:sz w:val="36"/>
          <w:szCs w:val="36"/>
        </w:rPr>
      </w:pPr>
      <w:r>
        <w:rPr>
          <w:rFonts w:hint="eastAsia" w:ascii="楷体" w:hAnsi="楷体" w:eastAsia="楷体"/>
          <w:bCs/>
          <w:sz w:val="36"/>
          <w:szCs w:val="36"/>
        </w:rPr>
        <w:t>管理体系审核记录表</w:t>
      </w:r>
    </w:p>
    <w:tbl>
      <w:tblPr>
        <w:tblStyle w:val="5"/>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276"/>
        <w:gridCol w:w="1046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384" w:type="dxa"/>
            <w:vMerge w:val="restart"/>
            <w:vAlign w:val="center"/>
          </w:tcPr>
          <w:p>
            <w:pPr>
              <w:spacing w:before="120" w:line="360" w:lineRule="auto"/>
              <w:jc w:val="center"/>
              <w:rPr>
                <w:rFonts w:ascii="楷体" w:hAnsi="楷体" w:eastAsia="楷体"/>
                <w:sz w:val="24"/>
                <w:szCs w:val="24"/>
              </w:rPr>
            </w:pPr>
            <w:r>
              <w:rPr>
                <w:rFonts w:hint="eastAsia" w:ascii="楷体" w:hAnsi="楷体" w:eastAsia="楷体"/>
                <w:sz w:val="24"/>
                <w:szCs w:val="24"/>
              </w:rPr>
              <w:t>过程与活动、</w:t>
            </w:r>
          </w:p>
          <w:p>
            <w:pPr>
              <w:spacing w:line="360" w:lineRule="auto"/>
              <w:jc w:val="center"/>
              <w:rPr>
                <w:rFonts w:ascii="楷体" w:hAnsi="楷体" w:eastAsia="楷体"/>
                <w:sz w:val="24"/>
                <w:szCs w:val="24"/>
              </w:rPr>
            </w:pPr>
            <w:r>
              <w:rPr>
                <w:rFonts w:hint="eastAsia" w:ascii="楷体" w:hAnsi="楷体" w:eastAsia="楷体"/>
                <w:sz w:val="24"/>
                <w:szCs w:val="24"/>
              </w:rPr>
              <w:t>抽样计划</w:t>
            </w:r>
          </w:p>
        </w:tc>
        <w:tc>
          <w:tcPr>
            <w:tcW w:w="1276" w:type="dxa"/>
            <w:vMerge w:val="restart"/>
            <w:vAlign w:val="center"/>
          </w:tcPr>
          <w:p>
            <w:pPr>
              <w:rPr>
                <w:rFonts w:ascii="楷体" w:hAnsi="楷体" w:eastAsia="楷体"/>
                <w:sz w:val="24"/>
                <w:szCs w:val="24"/>
              </w:rPr>
            </w:pPr>
            <w:r>
              <w:rPr>
                <w:rFonts w:hint="eastAsia" w:ascii="楷体" w:hAnsi="楷体" w:eastAsia="楷体"/>
                <w:sz w:val="24"/>
                <w:szCs w:val="24"/>
              </w:rPr>
              <w:t>涉及条款</w:t>
            </w:r>
          </w:p>
        </w:tc>
        <w:tc>
          <w:tcPr>
            <w:tcW w:w="10464" w:type="dxa"/>
            <w:vAlign w:val="center"/>
          </w:tcPr>
          <w:p>
            <w:pPr>
              <w:rPr>
                <w:rFonts w:hint="default" w:ascii="楷体" w:hAnsi="楷体" w:eastAsia="楷体"/>
                <w:sz w:val="24"/>
                <w:szCs w:val="24"/>
                <w:lang w:val="en-US" w:eastAsia="zh-CN"/>
              </w:rPr>
            </w:pPr>
            <w:r>
              <w:rPr>
                <w:rFonts w:hint="eastAsia" w:ascii="楷体" w:hAnsi="楷体" w:eastAsia="楷体"/>
                <w:sz w:val="24"/>
                <w:szCs w:val="24"/>
              </w:rPr>
              <w:t>受审核部门：</w:t>
            </w:r>
            <w:r>
              <w:rPr>
                <w:rFonts w:hint="eastAsia" w:ascii="楷体" w:hAnsi="楷体" w:eastAsia="楷体" w:cs="楷体"/>
                <w:b w:val="0"/>
                <w:bCs/>
                <w:sz w:val="24"/>
                <w:szCs w:val="24"/>
              </w:rPr>
              <w:t>化纤包装厂</w:t>
            </w:r>
            <w:r>
              <w:rPr>
                <w:rFonts w:hint="eastAsia" w:ascii="楷体" w:hAnsi="楷体" w:eastAsia="楷体"/>
                <w:sz w:val="24"/>
                <w:szCs w:val="24"/>
              </w:rPr>
              <w:t xml:space="preserve">     主管领导：</w:t>
            </w:r>
            <w:r>
              <w:rPr>
                <w:rFonts w:hint="eastAsia" w:ascii="楷体" w:hAnsi="楷体" w:eastAsia="楷体"/>
                <w:sz w:val="24"/>
                <w:szCs w:val="24"/>
                <w:lang w:val="en-US" w:eastAsia="zh-CN"/>
              </w:rPr>
              <w:t>史淑梅</w:t>
            </w:r>
            <w:r>
              <w:rPr>
                <w:rFonts w:hint="eastAsia" w:ascii="楷体" w:hAnsi="楷体" w:eastAsia="楷体"/>
                <w:sz w:val="24"/>
                <w:szCs w:val="24"/>
              </w:rPr>
              <w:t xml:space="preserve">     陪同人员：</w:t>
            </w:r>
            <w:r>
              <w:rPr>
                <w:rFonts w:hint="eastAsia" w:ascii="楷体" w:hAnsi="楷体" w:eastAsia="楷体"/>
                <w:sz w:val="24"/>
                <w:szCs w:val="24"/>
                <w:lang w:val="en-US" w:eastAsia="zh-CN"/>
              </w:rPr>
              <w:t>王金平</w:t>
            </w:r>
          </w:p>
        </w:tc>
        <w:tc>
          <w:tcPr>
            <w:tcW w:w="1585" w:type="dxa"/>
            <w:vMerge w:val="restart"/>
            <w:vAlign w:val="center"/>
          </w:tcPr>
          <w:p>
            <w:pPr>
              <w:spacing w:line="360" w:lineRule="auto"/>
              <w:rPr>
                <w:rFonts w:ascii="楷体" w:hAnsi="楷体" w:eastAsia="楷体"/>
                <w:sz w:val="24"/>
                <w:szCs w:val="24"/>
              </w:rPr>
            </w:pPr>
            <w:r>
              <w:rPr>
                <w:rFonts w:hint="eastAsia" w:ascii="楷体" w:hAnsi="楷体" w:eastAsia="楷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84" w:type="dxa"/>
            <w:vMerge w:val="continue"/>
            <w:vAlign w:val="center"/>
          </w:tcPr>
          <w:p>
            <w:pPr>
              <w:spacing w:line="360" w:lineRule="auto"/>
              <w:rPr>
                <w:rFonts w:ascii="楷体" w:hAnsi="楷体" w:eastAsia="楷体"/>
                <w:sz w:val="24"/>
                <w:szCs w:val="24"/>
              </w:rPr>
            </w:pPr>
          </w:p>
        </w:tc>
        <w:tc>
          <w:tcPr>
            <w:tcW w:w="1276" w:type="dxa"/>
            <w:vMerge w:val="continue"/>
            <w:vAlign w:val="center"/>
          </w:tcPr>
          <w:p>
            <w:pPr>
              <w:rPr>
                <w:rFonts w:ascii="楷体" w:hAnsi="楷体" w:eastAsia="楷体"/>
                <w:sz w:val="24"/>
                <w:szCs w:val="24"/>
              </w:rPr>
            </w:pPr>
          </w:p>
        </w:tc>
        <w:tc>
          <w:tcPr>
            <w:tcW w:w="10464" w:type="dxa"/>
            <w:vAlign w:val="center"/>
          </w:tcPr>
          <w:p>
            <w:pPr>
              <w:spacing w:before="120"/>
              <w:rPr>
                <w:rFonts w:hint="default" w:ascii="楷体" w:hAnsi="楷体" w:eastAsia="楷体"/>
                <w:sz w:val="24"/>
                <w:szCs w:val="24"/>
                <w:lang w:val="en-US" w:eastAsia="zh-CN"/>
              </w:rPr>
            </w:pPr>
            <w:r>
              <w:rPr>
                <w:rFonts w:hint="eastAsia" w:ascii="楷体" w:hAnsi="楷体" w:eastAsia="楷体"/>
                <w:sz w:val="24"/>
                <w:szCs w:val="24"/>
              </w:rPr>
              <w:t>审核员：</w:t>
            </w:r>
            <w:r>
              <w:rPr>
                <w:rFonts w:hint="eastAsia" w:ascii="楷体" w:hAnsi="楷体" w:eastAsia="楷体"/>
                <w:sz w:val="24"/>
                <w:szCs w:val="24"/>
                <w:lang w:val="en-US" w:eastAsia="zh-CN"/>
              </w:rPr>
              <w:t>伍光华</w:t>
            </w:r>
            <w:r>
              <w:rPr>
                <w:rFonts w:hint="eastAsia" w:ascii="楷体" w:hAnsi="楷体" w:eastAsia="楷体"/>
                <w:sz w:val="24"/>
                <w:szCs w:val="24"/>
              </w:rPr>
              <w:t xml:space="preserve">        审核时间：20</w:t>
            </w:r>
            <w:r>
              <w:rPr>
                <w:rFonts w:hint="eastAsia" w:ascii="楷体" w:hAnsi="楷体" w:eastAsia="楷体"/>
                <w:sz w:val="24"/>
                <w:szCs w:val="24"/>
                <w:lang w:val="en-US" w:eastAsia="zh-CN"/>
              </w:rPr>
              <w:t>21.3.25-26</w:t>
            </w:r>
          </w:p>
        </w:tc>
        <w:tc>
          <w:tcPr>
            <w:tcW w:w="1585" w:type="dxa"/>
            <w:vMerge w:val="continue"/>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84" w:type="dxa"/>
            <w:vMerge w:val="continue"/>
            <w:vAlign w:val="center"/>
          </w:tcPr>
          <w:p>
            <w:pPr>
              <w:spacing w:line="360" w:lineRule="auto"/>
              <w:rPr>
                <w:rFonts w:ascii="楷体" w:hAnsi="楷体" w:eastAsia="楷体"/>
                <w:sz w:val="24"/>
                <w:szCs w:val="24"/>
              </w:rPr>
            </w:pPr>
          </w:p>
        </w:tc>
        <w:tc>
          <w:tcPr>
            <w:tcW w:w="1276" w:type="dxa"/>
            <w:vMerge w:val="continue"/>
            <w:vAlign w:val="center"/>
          </w:tcPr>
          <w:p>
            <w:pPr>
              <w:rPr>
                <w:rFonts w:ascii="楷体" w:hAnsi="楷体" w:eastAsia="楷体"/>
                <w:sz w:val="24"/>
                <w:szCs w:val="24"/>
              </w:rPr>
            </w:pPr>
          </w:p>
        </w:tc>
        <w:tc>
          <w:tcPr>
            <w:tcW w:w="10464" w:type="dxa"/>
            <w:vAlign w:val="center"/>
          </w:tcPr>
          <w:p>
            <w:pPr>
              <w:adjustRightInd w:val="0"/>
              <w:snapToGrid w:val="0"/>
              <w:spacing w:line="320" w:lineRule="exact"/>
              <w:ind w:right="105" w:rightChars="50"/>
              <w:textAlignment w:val="baseline"/>
              <w:rPr>
                <w:rFonts w:ascii="宋体" w:hAnsi="宋体" w:cs="Arial"/>
                <w:b/>
                <w:szCs w:val="21"/>
              </w:rPr>
            </w:pPr>
            <w:r>
              <w:rPr>
                <w:rFonts w:hint="eastAsia" w:ascii="楷体" w:hAnsi="楷体" w:eastAsia="楷体"/>
                <w:sz w:val="24"/>
                <w:szCs w:val="24"/>
              </w:rPr>
              <w:t>审核条款：</w:t>
            </w:r>
            <w:r>
              <w:rPr>
                <w:rFonts w:hint="eastAsia" w:ascii="宋体" w:hAnsi="宋体" w:cs="Arial"/>
                <w:szCs w:val="21"/>
              </w:rPr>
              <w:t>QMS:5.3组织的岗位、职责和权限、6.2质量目标、7.1.5监视和测量资源不适用确认、7.1.3基础设施、7.1.4过程运行环境、8.1运行策划和控制、8.3产品和服务的设计和开发不适用确认、8.5.1生产和服务提供的控制、8.5.2产品标识和可追朔性、8.5.4产品防护、8.5.6生产和服务提供的更改控制，8.6产品和服务的放行、8.7不合格输出的控制，</w:t>
            </w:r>
            <w:r>
              <w:rPr>
                <w:rFonts w:ascii="宋体" w:hAnsi="宋体" w:cs="Arial"/>
                <w:b/>
                <w:szCs w:val="21"/>
              </w:rPr>
              <w:t xml:space="preserve"> </w:t>
            </w:r>
          </w:p>
          <w:p>
            <w:pPr>
              <w:rPr>
                <w:rFonts w:ascii="楷体" w:hAnsi="楷体" w:eastAsia="楷体"/>
                <w:sz w:val="24"/>
                <w:szCs w:val="24"/>
              </w:rPr>
            </w:pPr>
            <w:r>
              <w:rPr>
                <w:rFonts w:hint="eastAsia" w:ascii="宋体" w:hAnsi="宋体" w:cs="Arial"/>
                <w:szCs w:val="21"/>
              </w:rPr>
              <w:t>E/OMS: 5.3组织的岗位、职责和权限、6.2环境与职业健康安全目标、6.1.2环境因素/危险源辨识与评价、8.1运行策划和控制，</w:t>
            </w:r>
          </w:p>
        </w:tc>
        <w:tc>
          <w:tcPr>
            <w:tcW w:w="1585" w:type="dxa"/>
            <w:vMerge w:val="continue"/>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84" w:type="dxa"/>
            <w:vAlign w:val="center"/>
          </w:tcPr>
          <w:p>
            <w:pPr>
              <w:spacing w:line="360" w:lineRule="auto"/>
              <w:rPr>
                <w:rFonts w:ascii="楷体" w:hAnsi="楷体" w:eastAsia="楷体"/>
                <w:b/>
                <w:sz w:val="24"/>
                <w:szCs w:val="24"/>
              </w:rPr>
            </w:pPr>
            <w:r>
              <w:rPr>
                <w:rFonts w:hint="eastAsia" w:ascii="楷体" w:hAnsi="楷体" w:eastAsia="楷体" w:cs="Arial"/>
                <w:sz w:val="24"/>
                <w:szCs w:val="24"/>
              </w:rPr>
              <w:t>组织的岗位、职责和权限</w:t>
            </w:r>
          </w:p>
        </w:tc>
        <w:tc>
          <w:tcPr>
            <w:tcW w:w="1276" w:type="dxa"/>
          </w:tcPr>
          <w:p>
            <w:pPr>
              <w:spacing w:line="360" w:lineRule="auto"/>
              <w:rPr>
                <w:rFonts w:ascii="楷体" w:hAnsi="楷体" w:eastAsia="楷体" w:cs="Arial"/>
                <w:sz w:val="24"/>
                <w:szCs w:val="24"/>
              </w:rPr>
            </w:pPr>
            <w:r>
              <w:rPr>
                <w:rFonts w:hint="eastAsia" w:ascii="楷体" w:hAnsi="楷体" w:eastAsia="楷体" w:cs="Arial"/>
                <w:sz w:val="24"/>
                <w:szCs w:val="24"/>
              </w:rPr>
              <w:t>QEO 5.3</w:t>
            </w:r>
          </w:p>
        </w:tc>
        <w:tc>
          <w:tcPr>
            <w:tcW w:w="10464" w:type="dxa"/>
          </w:tcPr>
          <w:p>
            <w:pPr>
              <w:spacing w:line="300" w:lineRule="auto"/>
              <w:ind w:firstLine="570"/>
              <w:rPr>
                <w:rFonts w:hint="eastAsia" w:ascii="楷体" w:hAnsi="楷体" w:eastAsia="楷体"/>
                <w:sz w:val="24"/>
                <w:szCs w:val="24"/>
              </w:rPr>
            </w:pPr>
            <w:r>
              <w:rPr>
                <w:rFonts w:hint="eastAsia" w:ascii="楷体" w:hAnsi="楷体" w:eastAsia="楷体" w:cs="楷体"/>
                <w:b w:val="0"/>
                <w:bCs/>
                <w:sz w:val="24"/>
                <w:szCs w:val="24"/>
              </w:rPr>
              <w:t>化纤包装厂</w:t>
            </w:r>
            <w:r>
              <w:rPr>
                <w:rFonts w:hint="eastAsia" w:ascii="楷体" w:hAnsi="楷体" w:eastAsia="楷体"/>
                <w:sz w:val="24"/>
                <w:szCs w:val="24"/>
              </w:rPr>
              <w:t>主要作用、职责和权限包括:</w:t>
            </w:r>
          </w:p>
          <w:p>
            <w:pPr>
              <w:spacing w:line="240" w:lineRule="auto"/>
              <w:ind w:firstLine="570"/>
              <w:rPr>
                <w:rFonts w:hint="eastAsia" w:ascii="楷体" w:hAnsi="楷体" w:eastAsia="楷体" w:cs="楷体"/>
                <w:color w:val="auto"/>
                <w:sz w:val="24"/>
                <w:szCs w:val="24"/>
              </w:rPr>
            </w:pPr>
            <w:r>
              <w:rPr>
                <w:rFonts w:hint="eastAsia" w:ascii="楷体" w:hAnsi="楷体" w:eastAsia="楷体" w:cs="楷体"/>
                <w:color w:val="auto"/>
                <w:sz w:val="24"/>
                <w:szCs w:val="24"/>
              </w:rPr>
              <w:t>a)进行生产策划，并根据《生产任务单》向各班组下达相应的生产任务, 组织生产。</w:t>
            </w:r>
          </w:p>
          <w:p>
            <w:pPr>
              <w:spacing w:line="240" w:lineRule="auto"/>
              <w:ind w:firstLine="570"/>
              <w:rPr>
                <w:rFonts w:hint="eastAsia" w:ascii="楷体" w:hAnsi="楷体" w:eastAsia="楷体" w:cs="楷体"/>
                <w:color w:val="auto"/>
                <w:sz w:val="24"/>
                <w:szCs w:val="24"/>
              </w:rPr>
            </w:pPr>
            <w:r>
              <w:rPr>
                <w:rFonts w:hint="eastAsia" w:ascii="楷体" w:hAnsi="楷体" w:eastAsia="楷体" w:cs="楷体"/>
                <w:color w:val="auto"/>
                <w:sz w:val="24"/>
                <w:szCs w:val="24"/>
              </w:rPr>
              <w:t>b)负责组织对本车间产生的不合格件、不合格品及潜在的不合格因素进行原因分析，并进行处置。制订纠正和预防措施，经确认后实施。</w:t>
            </w:r>
          </w:p>
          <w:p>
            <w:pPr>
              <w:spacing w:line="240" w:lineRule="auto"/>
              <w:ind w:firstLine="570"/>
              <w:rPr>
                <w:rFonts w:hint="eastAsia" w:ascii="楷体" w:hAnsi="楷体" w:eastAsia="楷体" w:cs="楷体"/>
                <w:color w:val="auto"/>
                <w:sz w:val="24"/>
                <w:szCs w:val="24"/>
              </w:rPr>
            </w:pPr>
            <w:r>
              <w:rPr>
                <w:rFonts w:hint="eastAsia" w:ascii="楷体" w:hAnsi="楷体" w:eastAsia="楷体" w:cs="楷体"/>
                <w:color w:val="auto"/>
                <w:sz w:val="24"/>
                <w:szCs w:val="24"/>
              </w:rPr>
              <w:t>c)负责本车间的原辅材料、在制品、成品的搬运、贮存、包装、防护和交付管理。</w:t>
            </w:r>
          </w:p>
          <w:p>
            <w:pPr>
              <w:spacing w:line="240" w:lineRule="auto"/>
              <w:ind w:firstLine="570"/>
              <w:rPr>
                <w:rFonts w:hint="eastAsia" w:ascii="楷体" w:hAnsi="楷体" w:eastAsia="楷体" w:cs="楷体"/>
                <w:color w:val="auto"/>
                <w:sz w:val="24"/>
                <w:szCs w:val="24"/>
              </w:rPr>
            </w:pPr>
            <w:r>
              <w:rPr>
                <w:rFonts w:hint="eastAsia" w:ascii="楷体" w:hAnsi="楷体" w:eastAsia="楷体" w:cs="楷体"/>
                <w:color w:val="auto"/>
                <w:sz w:val="24"/>
                <w:szCs w:val="24"/>
              </w:rPr>
              <w:t>d)负责质量检验工作，依据标准及合同要求，对原辅材料和顾客提供产品进行质量检验或特殊检测项目的外委检测。</w:t>
            </w:r>
          </w:p>
          <w:p>
            <w:pPr>
              <w:spacing w:line="240" w:lineRule="auto"/>
              <w:ind w:firstLine="570"/>
              <w:rPr>
                <w:rFonts w:hint="eastAsia" w:ascii="楷体" w:hAnsi="楷体" w:eastAsia="楷体" w:cs="楷体"/>
                <w:color w:val="auto"/>
                <w:sz w:val="24"/>
                <w:szCs w:val="24"/>
              </w:rPr>
            </w:pPr>
            <w:r>
              <w:rPr>
                <w:rFonts w:hint="eastAsia" w:ascii="楷体" w:hAnsi="楷体" w:eastAsia="楷体" w:cs="楷体"/>
                <w:color w:val="auto"/>
                <w:sz w:val="24"/>
                <w:szCs w:val="24"/>
              </w:rPr>
              <w:t>e)负责产品标识、检验状态的管理；负责组织必要的追溯。</w:t>
            </w:r>
          </w:p>
          <w:p>
            <w:pPr>
              <w:spacing w:line="240" w:lineRule="auto"/>
              <w:ind w:firstLine="570"/>
              <w:rPr>
                <w:rFonts w:hint="eastAsia" w:ascii="楷体" w:hAnsi="楷体" w:eastAsia="楷体" w:cs="楷体"/>
                <w:color w:val="auto"/>
                <w:sz w:val="24"/>
                <w:szCs w:val="24"/>
              </w:rPr>
            </w:pPr>
            <w:r>
              <w:rPr>
                <w:rFonts w:hint="eastAsia" w:ascii="楷体" w:hAnsi="楷体" w:eastAsia="楷体" w:cs="楷体"/>
                <w:color w:val="auto"/>
                <w:sz w:val="24"/>
                <w:szCs w:val="24"/>
              </w:rPr>
              <w:t>f)负责生产设备、计量器具的维护、保养工作；检验器材、内部使用器具和长度标准器具的送检。</w:t>
            </w:r>
          </w:p>
          <w:p>
            <w:pPr>
              <w:spacing w:line="240" w:lineRule="auto"/>
              <w:ind w:firstLine="570"/>
              <w:rPr>
                <w:rFonts w:hint="eastAsia" w:ascii="楷体" w:hAnsi="楷体" w:eastAsia="楷体" w:cs="楷体"/>
                <w:color w:val="auto"/>
                <w:sz w:val="24"/>
                <w:szCs w:val="24"/>
              </w:rPr>
            </w:pPr>
            <w:r>
              <w:rPr>
                <w:rFonts w:hint="eastAsia" w:ascii="楷体" w:hAnsi="楷体" w:eastAsia="楷体" w:cs="楷体"/>
                <w:color w:val="auto"/>
                <w:sz w:val="24"/>
                <w:szCs w:val="24"/>
              </w:rPr>
              <w:t xml:space="preserve">g) 负责组织对本区域生产的不符合、事故、事件、不合格品及潜在的不合格因素进行原因分析并进行处置；制定纠正措施和预防措施，经相关部门确认后实施；建立 “HSE事故”台帐和“隐患治理”台帐。 </w:t>
            </w:r>
          </w:p>
          <w:p>
            <w:pPr>
              <w:spacing w:line="240" w:lineRule="auto"/>
              <w:ind w:firstLine="480" w:firstLineChars="200"/>
              <w:rPr>
                <w:rFonts w:hint="eastAsia" w:ascii="楷体" w:hAnsi="楷体" w:eastAsia="楷体" w:cs="楷体"/>
                <w:color w:val="auto"/>
                <w:sz w:val="24"/>
                <w:szCs w:val="24"/>
              </w:rPr>
            </w:pPr>
            <w:r>
              <w:rPr>
                <w:rFonts w:hint="eastAsia" w:ascii="楷体" w:hAnsi="楷体" w:eastAsia="楷体" w:cs="楷体"/>
                <w:color w:val="auto"/>
                <w:sz w:val="24"/>
                <w:szCs w:val="24"/>
              </w:rPr>
              <w:t>h) 负责车间的现场管理，做到工作环境整洁，保证安全文明生产。</w:t>
            </w:r>
          </w:p>
          <w:p>
            <w:pPr>
              <w:spacing w:line="240" w:lineRule="auto"/>
              <w:ind w:firstLine="570"/>
              <w:rPr>
                <w:rFonts w:hint="eastAsia" w:ascii="楷体" w:hAnsi="楷体" w:eastAsia="楷体" w:cs="楷体"/>
                <w:color w:val="auto"/>
                <w:sz w:val="24"/>
                <w:szCs w:val="24"/>
              </w:rPr>
            </w:pPr>
            <w:r>
              <w:rPr>
                <w:rFonts w:hint="eastAsia" w:ascii="楷体" w:hAnsi="楷体" w:eastAsia="楷体" w:cs="楷体"/>
                <w:color w:val="auto"/>
                <w:sz w:val="24"/>
                <w:szCs w:val="24"/>
              </w:rPr>
              <w:t>i) 负责产品标识，检验状态管理；负责组织必要的追溯。</w:t>
            </w:r>
          </w:p>
          <w:p>
            <w:pPr>
              <w:spacing w:line="240" w:lineRule="auto"/>
              <w:ind w:firstLine="570"/>
              <w:rPr>
                <w:rFonts w:hint="eastAsia" w:ascii="楷体" w:hAnsi="楷体" w:eastAsia="楷体" w:cs="楷体"/>
                <w:color w:val="auto"/>
                <w:sz w:val="24"/>
                <w:szCs w:val="24"/>
              </w:rPr>
            </w:pPr>
            <w:r>
              <w:rPr>
                <w:rFonts w:hint="eastAsia" w:ascii="楷体" w:hAnsi="楷体" w:eastAsia="楷体" w:cs="楷体"/>
                <w:color w:val="auto"/>
                <w:sz w:val="24"/>
                <w:szCs w:val="24"/>
              </w:rPr>
              <w:t>j) 负责制定QES监视和测量设备（包括“气防”设施、电气工器具）的现场管理，上报周检计划，并且负责送检，确保QES监视和测量设备的精度和正确使用，各单位保留检定合格证的复印件。</w:t>
            </w:r>
          </w:p>
          <w:p>
            <w:pPr>
              <w:spacing w:line="240" w:lineRule="auto"/>
              <w:ind w:firstLine="570"/>
              <w:rPr>
                <w:rFonts w:hint="eastAsia" w:ascii="楷体" w:hAnsi="楷体" w:eastAsia="楷体" w:cs="楷体"/>
                <w:color w:val="auto"/>
                <w:sz w:val="24"/>
                <w:szCs w:val="24"/>
              </w:rPr>
            </w:pPr>
            <w:r>
              <w:rPr>
                <w:rFonts w:hint="eastAsia" w:ascii="楷体" w:hAnsi="楷体" w:eastAsia="楷体" w:cs="楷体"/>
                <w:color w:val="auto"/>
                <w:sz w:val="24"/>
                <w:szCs w:val="24"/>
              </w:rPr>
              <w:t>k) 负责车间的设备，工作现场环境和安全管理，编制申报设备检修月计划、紧急抢修计划和年度大修计划；负责包括一、二级直接作业票证的实施与管理，保留票根；在办公室的组织指导下负责二、三级安全教育的实施，建立本单位教育台帐；负责检测室特种设备以及防雷、防静电对外的检测的申报工作，并且建立申报及台帐。</w:t>
            </w:r>
          </w:p>
          <w:p>
            <w:pPr>
              <w:spacing w:line="240" w:lineRule="auto"/>
              <w:ind w:firstLine="570"/>
              <w:rPr>
                <w:rFonts w:hint="eastAsia" w:ascii="楷体" w:hAnsi="楷体" w:eastAsia="楷体" w:cs="楷体"/>
                <w:color w:val="auto"/>
                <w:sz w:val="24"/>
                <w:szCs w:val="24"/>
              </w:rPr>
            </w:pPr>
            <w:r>
              <w:rPr>
                <w:rFonts w:hint="eastAsia" w:ascii="楷体" w:hAnsi="楷体" w:eastAsia="楷体" w:cs="楷体"/>
                <w:color w:val="auto"/>
                <w:sz w:val="24"/>
                <w:szCs w:val="24"/>
              </w:rPr>
              <w:t>l) 在办公室的指导和监管下负责编制本单位现场的应急措施和处置方案，并且上报办公室审批；按要求进行现场处置方案的培训、演练、评审，并保持记录。</w:t>
            </w:r>
          </w:p>
          <w:p>
            <w:pPr>
              <w:spacing w:line="240" w:lineRule="auto"/>
              <w:ind w:firstLine="570"/>
              <w:rPr>
                <w:rFonts w:hint="eastAsia" w:ascii="楷体" w:hAnsi="楷体" w:eastAsia="楷体" w:cs="楷体"/>
                <w:color w:val="auto"/>
                <w:sz w:val="24"/>
                <w:szCs w:val="24"/>
              </w:rPr>
            </w:pPr>
            <w:r>
              <w:rPr>
                <w:rFonts w:hint="eastAsia" w:ascii="楷体" w:hAnsi="楷体" w:eastAsia="楷体" w:cs="楷体"/>
                <w:color w:val="auto"/>
                <w:sz w:val="24"/>
                <w:szCs w:val="24"/>
              </w:rPr>
              <w:t>m) 在办公室的指导和监管下负责对本单位的环境因素进行识别与辨识，并且初步评价出重要环境因素上报办公室审批。</w:t>
            </w:r>
          </w:p>
          <w:p>
            <w:pPr>
              <w:spacing w:line="240" w:lineRule="auto"/>
              <w:ind w:firstLine="570"/>
              <w:rPr>
                <w:rFonts w:hint="eastAsia" w:ascii="楷体" w:hAnsi="楷体" w:eastAsia="楷体" w:cs="楷体"/>
                <w:color w:val="auto"/>
                <w:sz w:val="24"/>
                <w:szCs w:val="24"/>
              </w:rPr>
            </w:pPr>
            <w:r>
              <w:rPr>
                <w:rFonts w:hint="eastAsia" w:ascii="楷体" w:hAnsi="楷体" w:eastAsia="楷体" w:cs="楷体"/>
                <w:color w:val="auto"/>
                <w:sz w:val="24"/>
                <w:szCs w:val="24"/>
              </w:rPr>
              <w:t>n) 建立本单位的消防设施、消防器材台帐（包括平面布置），确保完好。</w:t>
            </w:r>
          </w:p>
          <w:p>
            <w:pPr>
              <w:spacing w:line="240" w:lineRule="auto"/>
              <w:ind w:firstLine="570"/>
              <w:rPr>
                <w:rFonts w:hint="eastAsia" w:ascii="楷体" w:hAnsi="楷体" w:eastAsia="楷体" w:cs="楷体"/>
                <w:color w:val="auto"/>
                <w:sz w:val="24"/>
                <w:szCs w:val="24"/>
              </w:rPr>
            </w:pPr>
            <w:r>
              <w:rPr>
                <w:rFonts w:hint="eastAsia" w:ascii="楷体" w:hAnsi="楷体" w:eastAsia="楷体" w:cs="楷体"/>
                <w:color w:val="auto"/>
                <w:sz w:val="24"/>
                <w:szCs w:val="24"/>
              </w:rPr>
              <w:t>o) 严格管理本单位环境污染物、工作场所有毒有害物质的排放，建立“排放与检测数据”台帐（包括固废处置记录）。</w:t>
            </w:r>
          </w:p>
          <w:p>
            <w:pPr>
              <w:spacing w:line="240" w:lineRule="auto"/>
              <w:ind w:firstLine="570"/>
              <w:rPr>
                <w:rFonts w:hint="eastAsia" w:ascii="楷体" w:hAnsi="楷体" w:eastAsia="楷体" w:cs="楷体"/>
                <w:color w:val="auto"/>
                <w:sz w:val="24"/>
                <w:szCs w:val="24"/>
              </w:rPr>
            </w:pPr>
            <w:r>
              <w:rPr>
                <w:rFonts w:hint="eastAsia" w:ascii="楷体" w:hAnsi="楷体" w:eastAsia="楷体" w:cs="楷体"/>
                <w:color w:val="auto"/>
                <w:sz w:val="24"/>
                <w:szCs w:val="24"/>
              </w:rPr>
              <w:t>p） 定期对本单位管理过程进行监视和测量，每季度对本单位的QES执行情况（法律法规及其他要求的执行、QES目标指标、重要环境因素、管理方案---即隐患治理项目、应急准备和响应包括方案与演练）进行监视与测量。</w:t>
            </w:r>
          </w:p>
          <w:p>
            <w:pPr>
              <w:spacing w:line="360" w:lineRule="auto"/>
              <w:ind w:firstLine="480" w:firstLineChars="200"/>
              <w:rPr>
                <w:rFonts w:ascii="楷体" w:hAnsi="楷体" w:eastAsia="楷体"/>
                <w:sz w:val="24"/>
                <w:szCs w:val="24"/>
              </w:rPr>
            </w:pPr>
            <w:r>
              <w:rPr>
                <w:rFonts w:hint="eastAsia" w:ascii="楷体" w:hAnsi="楷体" w:eastAsia="楷体" w:cs="楷体"/>
                <w:b w:val="0"/>
                <w:bCs/>
                <w:sz w:val="24"/>
                <w:szCs w:val="24"/>
              </w:rPr>
              <w:t>化纤包装厂</w:t>
            </w:r>
            <w:r>
              <w:rPr>
                <w:rFonts w:hint="eastAsia" w:ascii="楷体" w:hAnsi="楷体" w:eastAsia="楷体"/>
                <w:sz w:val="24"/>
                <w:szCs w:val="24"/>
              </w:rPr>
              <w:t>上述作用和职责、权限基本得到有效沟通和实施。</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384" w:type="dxa"/>
            <w:vAlign w:val="center"/>
          </w:tcPr>
          <w:p>
            <w:pPr>
              <w:spacing w:line="360" w:lineRule="auto"/>
              <w:rPr>
                <w:rFonts w:ascii="楷体" w:hAnsi="楷体" w:eastAsia="楷体" w:cs="Arial"/>
                <w:sz w:val="24"/>
                <w:szCs w:val="24"/>
              </w:rPr>
            </w:pPr>
            <w:r>
              <w:rPr>
                <w:rFonts w:hint="eastAsia" w:ascii="楷体" w:hAnsi="楷体" w:eastAsia="楷体" w:cs="Arial"/>
                <w:sz w:val="24"/>
                <w:szCs w:val="24"/>
              </w:rPr>
              <w:t xml:space="preserve">目标 </w:t>
            </w:r>
          </w:p>
        </w:tc>
        <w:tc>
          <w:tcPr>
            <w:tcW w:w="1276" w:type="dxa"/>
            <w:vAlign w:val="center"/>
          </w:tcPr>
          <w:p>
            <w:pPr>
              <w:spacing w:line="360" w:lineRule="auto"/>
              <w:rPr>
                <w:rFonts w:ascii="楷体" w:hAnsi="楷体" w:eastAsia="楷体" w:cs="Arial"/>
                <w:sz w:val="24"/>
                <w:szCs w:val="24"/>
              </w:rPr>
            </w:pPr>
            <w:r>
              <w:rPr>
                <w:rFonts w:hint="eastAsia" w:ascii="楷体" w:hAnsi="楷体" w:eastAsia="楷体" w:cs="Arial"/>
                <w:sz w:val="24"/>
                <w:szCs w:val="24"/>
              </w:rPr>
              <w:t>QEO:6.2</w:t>
            </w:r>
          </w:p>
        </w:tc>
        <w:tc>
          <w:tcPr>
            <w:tcW w:w="10464" w:type="dxa"/>
            <w:vAlign w:val="center"/>
          </w:tcPr>
          <w:p>
            <w:pPr>
              <w:spacing w:line="360" w:lineRule="auto"/>
              <w:rPr>
                <w:rFonts w:ascii="楷体" w:hAnsi="楷体" w:eastAsia="楷体"/>
                <w:sz w:val="24"/>
                <w:szCs w:val="24"/>
              </w:rPr>
            </w:pPr>
            <w:r>
              <w:rPr>
                <w:rFonts w:hint="eastAsia" w:ascii="楷体" w:hAnsi="楷体" w:eastAsia="楷体"/>
                <w:sz w:val="24"/>
                <w:szCs w:val="24"/>
                <w:lang w:eastAsia="zh-CN"/>
              </w:rPr>
              <w:drawing>
                <wp:anchor distT="0" distB="0" distL="114300" distR="114300" simplePos="0" relativeHeight="251662336" behindDoc="0" locked="0" layoutInCell="1" allowOverlap="1">
                  <wp:simplePos x="0" y="0"/>
                  <wp:positionH relativeFrom="column">
                    <wp:posOffset>1573530</wp:posOffset>
                  </wp:positionH>
                  <wp:positionV relativeFrom="paragraph">
                    <wp:posOffset>-78740</wp:posOffset>
                  </wp:positionV>
                  <wp:extent cx="1515110" cy="2019935"/>
                  <wp:effectExtent l="0" t="0" r="12065" b="8890"/>
                  <wp:wrapNone/>
                  <wp:docPr id="15" name="图片 15" descr="2bbbdbd4c0c6d32eb0ed7b2fbec3b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bbbdbd4c0c6d32eb0ed7b2fbec3b5e"/>
                          <pic:cNvPicPr>
                            <a:picLocks noChangeAspect="1"/>
                          </pic:cNvPicPr>
                        </pic:nvPicPr>
                        <pic:blipFill>
                          <a:blip r:embed="rId6"/>
                          <a:stretch>
                            <a:fillRect/>
                          </a:stretch>
                        </pic:blipFill>
                        <pic:spPr>
                          <a:xfrm rot="16200000">
                            <a:off x="0" y="0"/>
                            <a:ext cx="1515110" cy="2019935"/>
                          </a:xfrm>
                          <a:prstGeom prst="rect">
                            <a:avLst/>
                          </a:prstGeom>
                        </pic:spPr>
                      </pic:pic>
                    </a:graphicData>
                  </a:graphic>
                </wp:anchor>
              </w:drawing>
            </w:r>
            <w:r>
              <w:rPr>
                <w:rFonts w:hint="eastAsia" w:ascii="楷体" w:hAnsi="楷体" w:eastAsia="楷体" w:cs="Arial"/>
                <w:sz w:val="24"/>
                <w:szCs w:val="24"/>
              </w:rPr>
              <w:t>部</w:t>
            </w:r>
            <w:r>
              <w:rPr>
                <w:rFonts w:hint="eastAsia" w:ascii="楷体" w:hAnsi="楷体" w:eastAsia="楷体"/>
                <w:sz w:val="24"/>
                <w:szCs w:val="24"/>
              </w:rPr>
              <w:t xml:space="preserve">门目标：                 </w:t>
            </w:r>
          </w:p>
          <w:p>
            <w:pPr>
              <w:spacing w:line="360" w:lineRule="auto"/>
              <w:rPr>
                <w:rFonts w:hint="eastAsia" w:ascii="楷体" w:hAnsi="楷体" w:eastAsia="楷体"/>
                <w:sz w:val="24"/>
                <w:szCs w:val="24"/>
                <w:lang w:eastAsia="zh-CN"/>
              </w:rPr>
            </w:pPr>
          </w:p>
          <w:p>
            <w:pPr>
              <w:spacing w:line="360" w:lineRule="auto"/>
              <w:rPr>
                <w:rFonts w:hint="eastAsia" w:ascii="楷体" w:hAnsi="楷体" w:eastAsia="楷体"/>
                <w:sz w:val="24"/>
                <w:szCs w:val="24"/>
              </w:rPr>
            </w:pPr>
          </w:p>
          <w:p>
            <w:pPr>
              <w:spacing w:line="360" w:lineRule="auto"/>
              <w:rPr>
                <w:rFonts w:hint="eastAsia" w:ascii="楷体" w:hAnsi="楷体" w:eastAsia="楷体"/>
                <w:sz w:val="24"/>
                <w:szCs w:val="24"/>
              </w:rPr>
            </w:pPr>
          </w:p>
          <w:p>
            <w:pPr>
              <w:spacing w:line="360" w:lineRule="auto"/>
              <w:rPr>
                <w:rFonts w:hint="eastAsia" w:ascii="楷体" w:hAnsi="楷体" w:eastAsia="楷体"/>
                <w:sz w:val="24"/>
                <w:szCs w:val="24"/>
              </w:rPr>
            </w:pPr>
          </w:p>
          <w:p>
            <w:pPr>
              <w:spacing w:line="360" w:lineRule="auto"/>
              <w:rPr>
                <w:rFonts w:hint="eastAsia" w:ascii="楷体" w:hAnsi="楷体" w:eastAsia="楷体"/>
                <w:sz w:val="24"/>
                <w:szCs w:val="24"/>
              </w:rPr>
            </w:pPr>
          </w:p>
          <w:p>
            <w:pPr>
              <w:spacing w:line="360" w:lineRule="auto"/>
              <w:rPr>
                <w:rFonts w:ascii="楷体" w:hAnsi="楷体" w:eastAsia="楷体" w:cs="Arial"/>
                <w:sz w:val="24"/>
                <w:szCs w:val="24"/>
              </w:rPr>
            </w:pPr>
            <w:r>
              <w:rPr>
                <w:rFonts w:hint="eastAsia" w:ascii="楷体" w:hAnsi="楷体" w:eastAsia="楷体"/>
                <w:sz w:val="24"/>
                <w:szCs w:val="24"/>
              </w:rPr>
              <w:t>考核情况：20</w:t>
            </w:r>
            <w:r>
              <w:rPr>
                <w:rFonts w:hint="eastAsia" w:ascii="楷体" w:hAnsi="楷体" w:eastAsia="楷体"/>
                <w:sz w:val="24"/>
                <w:szCs w:val="24"/>
                <w:lang w:val="en-US" w:eastAsia="zh-CN"/>
              </w:rPr>
              <w:t>21</w:t>
            </w:r>
            <w:r>
              <w:rPr>
                <w:rFonts w:hint="eastAsia" w:ascii="楷体" w:hAnsi="楷体" w:eastAsia="楷体"/>
                <w:sz w:val="24"/>
                <w:szCs w:val="24"/>
              </w:rPr>
              <w:t>.</w:t>
            </w:r>
            <w:r>
              <w:rPr>
                <w:rFonts w:hint="eastAsia" w:ascii="楷体" w:hAnsi="楷体" w:eastAsia="楷体"/>
                <w:sz w:val="24"/>
                <w:szCs w:val="24"/>
                <w:lang w:val="en-US" w:eastAsia="zh-CN"/>
              </w:rPr>
              <w:t>3</w:t>
            </w:r>
            <w:r>
              <w:rPr>
                <w:rFonts w:hint="eastAsia" w:ascii="楷体" w:hAnsi="楷体" w:eastAsia="楷体"/>
                <w:sz w:val="24"/>
                <w:szCs w:val="24"/>
              </w:rPr>
              <w:t>.5日考核已完成。</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84" w:type="dxa"/>
            <w:vAlign w:val="center"/>
          </w:tcPr>
          <w:p>
            <w:pPr>
              <w:spacing w:line="360" w:lineRule="auto"/>
              <w:jc w:val="center"/>
              <w:rPr>
                <w:rFonts w:ascii="楷体" w:hAnsi="楷体" w:eastAsia="楷体"/>
                <w:sz w:val="24"/>
                <w:szCs w:val="24"/>
              </w:rPr>
            </w:pPr>
            <w:r>
              <w:rPr>
                <w:rFonts w:hint="eastAsia" w:ascii="楷体" w:hAnsi="楷体" w:eastAsia="楷体"/>
                <w:sz w:val="24"/>
                <w:szCs w:val="24"/>
              </w:rPr>
              <w:t>基础设施</w:t>
            </w:r>
          </w:p>
        </w:tc>
        <w:tc>
          <w:tcPr>
            <w:tcW w:w="1276" w:type="dxa"/>
            <w:vAlign w:val="center"/>
          </w:tcPr>
          <w:p>
            <w:pPr>
              <w:spacing w:line="360" w:lineRule="auto"/>
              <w:jc w:val="center"/>
              <w:rPr>
                <w:rFonts w:ascii="楷体" w:hAnsi="楷体" w:eastAsia="楷体"/>
                <w:sz w:val="24"/>
                <w:szCs w:val="24"/>
              </w:rPr>
            </w:pPr>
            <w:r>
              <w:rPr>
                <w:rFonts w:ascii="楷体" w:hAnsi="楷体" w:eastAsia="楷体"/>
                <w:sz w:val="24"/>
                <w:szCs w:val="24"/>
              </w:rPr>
              <w:t>Q7.1.3</w:t>
            </w:r>
          </w:p>
        </w:tc>
        <w:tc>
          <w:tcPr>
            <w:tcW w:w="10464" w:type="dxa"/>
            <w:vAlign w:val="center"/>
          </w:tcPr>
          <w:p>
            <w:pPr>
              <w:numPr>
                <w:ilvl w:val="0"/>
                <w:numId w:val="1"/>
              </w:numPr>
              <w:spacing w:line="360" w:lineRule="auto"/>
              <w:rPr>
                <w:rFonts w:ascii="楷体" w:hAnsi="楷体" w:eastAsia="楷体"/>
                <w:sz w:val="24"/>
                <w:szCs w:val="24"/>
              </w:rPr>
            </w:pPr>
            <w:r>
              <w:rPr>
                <w:rFonts w:hint="eastAsia" w:ascii="楷体" w:hAnsi="楷体" w:eastAsia="楷体"/>
                <w:sz w:val="24"/>
                <w:szCs w:val="24"/>
              </w:rPr>
              <w:t>公司为确保质量、环境、职业健康安全管理体系的建立、实施和改进需要，提供并配备主要生产设备包括</w:t>
            </w:r>
            <w:r>
              <w:rPr>
                <w:rFonts w:hint="eastAsia" w:ascii="楷体" w:hAnsi="楷体" w:eastAsia="楷体" w:cs="楷体"/>
                <w:color w:val="auto"/>
                <w:sz w:val="24"/>
                <w:szCs w:val="24"/>
                <w:lang w:val="en-US" w:eastAsia="zh-CN"/>
              </w:rPr>
              <w:t>缝纫机、包装带生产线</w:t>
            </w:r>
            <w:r>
              <w:rPr>
                <w:rFonts w:hint="eastAsia" w:ascii="楷体" w:hAnsi="楷体" w:eastAsia="楷体"/>
                <w:sz w:val="24"/>
                <w:szCs w:val="24"/>
              </w:rPr>
              <w:t>等生产设备；</w:t>
            </w:r>
            <w:r>
              <w:rPr>
                <w:rFonts w:hint="eastAsia" w:ascii="楷体" w:hAnsi="楷体" w:eastAsia="楷体" w:cs="楷体"/>
                <w:color w:val="000000"/>
                <w:sz w:val="24"/>
                <w:szCs w:val="24"/>
                <w:lang w:val="en-US" w:eastAsia="zh-CN"/>
              </w:rPr>
              <w:t>电子万能实验机、游标卡尺、钢直尺、钢卷尺、电子台秤</w:t>
            </w:r>
            <w:r>
              <w:rPr>
                <w:rFonts w:hint="eastAsia" w:ascii="楷体" w:hAnsi="楷体" w:eastAsia="楷体"/>
                <w:sz w:val="24"/>
                <w:szCs w:val="24"/>
              </w:rPr>
              <w:t>等监视测量设备；以及灭火器、消防栓、除尘器等环保和安全辅助设备/设施。现有基础设施配备较充分、齐全，满足日常经营和管理体系的实施和改进需要。</w:t>
            </w:r>
          </w:p>
          <w:p>
            <w:pPr>
              <w:spacing w:line="360" w:lineRule="auto"/>
              <w:rPr>
                <w:rFonts w:ascii="楷体" w:hAnsi="楷体" w:eastAsia="楷体"/>
                <w:color w:val="FF0000"/>
                <w:sz w:val="24"/>
                <w:szCs w:val="24"/>
              </w:rPr>
            </w:pPr>
            <w:r>
              <w:rPr>
                <w:rFonts w:hint="eastAsia" w:ascii="楷体" w:hAnsi="楷体" w:eastAsia="楷体"/>
                <w:sz w:val="24"/>
                <w:szCs w:val="24"/>
              </w:rPr>
              <w:t>查见“生产设备台账”，明确了设备名称、型号、数量等。</w:t>
            </w:r>
          </w:p>
          <w:p>
            <w:pPr>
              <w:spacing w:line="360" w:lineRule="auto"/>
              <w:rPr>
                <w:rFonts w:ascii="楷体" w:hAnsi="楷体" w:eastAsia="楷体"/>
                <w:sz w:val="24"/>
                <w:szCs w:val="24"/>
              </w:rPr>
            </w:pPr>
            <w:r>
              <w:rPr>
                <w:rFonts w:hint="eastAsia" w:ascii="楷体" w:hAnsi="楷体" w:eastAsia="楷体"/>
                <w:sz w:val="24"/>
                <w:szCs w:val="24"/>
              </w:rPr>
              <w:t>2、查见“设备</w:t>
            </w:r>
            <w:r>
              <w:rPr>
                <w:rFonts w:hint="eastAsia" w:ascii="楷体" w:hAnsi="楷体" w:eastAsia="楷体"/>
                <w:sz w:val="24"/>
                <w:szCs w:val="24"/>
                <w:lang w:val="en-US" w:eastAsia="zh-CN"/>
              </w:rPr>
              <w:t>检修记录</w:t>
            </w:r>
            <w:r>
              <w:rPr>
                <w:rFonts w:hint="eastAsia" w:ascii="楷体" w:hAnsi="楷体" w:eastAsia="楷体"/>
                <w:sz w:val="24"/>
                <w:szCs w:val="24"/>
              </w:rPr>
              <w:t>”，每月进行一次设备检修，检修项目：二级保养和三级保养。</w:t>
            </w:r>
          </w:p>
          <w:p>
            <w:pPr>
              <w:spacing w:line="360" w:lineRule="auto"/>
              <w:rPr>
                <w:rFonts w:ascii="楷体" w:hAnsi="楷体" w:eastAsia="楷体"/>
                <w:sz w:val="24"/>
                <w:szCs w:val="24"/>
              </w:rPr>
            </w:pPr>
            <w:r>
              <w:rPr>
                <w:rFonts w:hint="eastAsia" w:ascii="楷体" w:hAnsi="楷体" w:eastAsia="楷体"/>
                <w:sz w:val="24"/>
                <w:szCs w:val="24"/>
              </w:rPr>
              <w:t>查见20</w:t>
            </w:r>
            <w:r>
              <w:rPr>
                <w:rFonts w:hint="eastAsia" w:ascii="楷体" w:hAnsi="楷体" w:eastAsia="楷体"/>
                <w:sz w:val="24"/>
                <w:szCs w:val="24"/>
                <w:lang w:val="en-US" w:eastAsia="zh-CN"/>
              </w:rPr>
              <w:t>20</w:t>
            </w:r>
            <w:r>
              <w:rPr>
                <w:rFonts w:hint="eastAsia" w:ascii="楷体" w:hAnsi="楷体" w:eastAsia="楷体"/>
                <w:sz w:val="24"/>
                <w:szCs w:val="24"/>
              </w:rPr>
              <w:t>年</w:t>
            </w:r>
            <w:r>
              <w:rPr>
                <w:rFonts w:hint="eastAsia" w:ascii="楷体" w:hAnsi="楷体" w:eastAsia="楷体"/>
                <w:sz w:val="24"/>
                <w:szCs w:val="24"/>
                <w:lang w:val="en-US" w:eastAsia="zh-CN"/>
              </w:rPr>
              <w:t>11</w:t>
            </w:r>
            <w:r>
              <w:rPr>
                <w:rFonts w:hint="eastAsia" w:ascii="楷体" w:hAnsi="楷体" w:eastAsia="楷体"/>
                <w:sz w:val="24"/>
                <w:szCs w:val="24"/>
              </w:rPr>
              <w:t>月的“设备</w:t>
            </w:r>
            <w:r>
              <w:rPr>
                <w:rFonts w:hint="eastAsia" w:ascii="楷体" w:hAnsi="楷体" w:eastAsia="楷体"/>
                <w:sz w:val="24"/>
                <w:szCs w:val="24"/>
                <w:lang w:val="en-US" w:eastAsia="zh-CN"/>
              </w:rPr>
              <w:t>检修记录</w:t>
            </w:r>
            <w:r>
              <w:rPr>
                <w:rFonts w:hint="eastAsia" w:ascii="楷体" w:hAnsi="楷体" w:eastAsia="楷体"/>
                <w:sz w:val="24"/>
                <w:szCs w:val="24"/>
              </w:rPr>
              <w:t>”。设备名称</w:t>
            </w:r>
            <w:r>
              <w:rPr>
                <w:rFonts w:hint="eastAsia" w:ascii="楷体" w:hAnsi="楷体" w:eastAsia="楷体"/>
                <w:sz w:val="24"/>
                <w:szCs w:val="24"/>
                <w:lang w:val="en-US" w:eastAsia="zh-CN"/>
              </w:rPr>
              <w:t>缝纫机</w:t>
            </w:r>
            <w:r>
              <w:rPr>
                <w:rFonts w:hint="eastAsia" w:ascii="楷体" w:hAnsi="楷体" w:eastAsia="楷体"/>
                <w:sz w:val="24"/>
                <w:szCs w:val="24"/>
              </w:rPr>
              <w:t>，检修发现</w:t>
            </w:r>
            <w:r>
              <w:rPr>
                <w:rFonts w:hint="eastAsia" w:ascii="楷体" w:hAnsi="楷体" w:eastAsia="楷体"/>
                <w:sz w:val="24"/>
                <w:szCs w:val="24"/>
                <w:lang w:val="en-US" w:eastAsia="zh-CN"/>
              </w:rPr>
              <w:t>缝纫机</w:t>
            </w:r>
            <w:r>
              <w:rPr>
                <w:rFonts w:hint="eastAsia" w:ascii="楷体" w:hAnsi="楷体" w:eastAsia="楷体"/>
                <w:sz w:val="24"/>
                <w:szCs w:val="24"/>
              </w:rPr>
              <w:t>主轴磨损严重，更换了轴承，维修后符合要求，维修人</w:t>
            </w:r>
            <w:r>
              <w:rPr>
                <w:rFonts w:hint="eastAsia" w:ascii="楷体" w:hAnsi="楷体" w:eastAsia="楷体"/>
                <w:sz w:val="24"/>
                <w:szCs w:val="24"/>
                <w:lang w:val="en-US" w:eastAsia="zh-CN"/>
              </w:rPr>
              <w:t>江启斌</w:t>
            </w:r>
            <w:r>
              <w:rPr>
                <w:rFonts w:hint="eastAsia" w:ascii="楷体" w:hAnsi="楷体" w:eastAsia="楷体"/>
                <w:sz w:val="24"/>
                <w:szCs w:val="24"/>
              </w:rPr>
              <w:t>。</w:t>
            </w:r>
          </w:p>
          <w:p>
            <w:pPr>
              <w:spacing w:line="360" w:lineRule="auto"/>
              <w:rPr>
                <w:rFonts w:ascii="楷体" w:hAnsi="楷体" w:eastAsia="楷体"/>
                <w:sz w:val="24"/>
                <w:szCs w:val="24"/>
              </w:rPr>
            </w:pPr>
            <w:r>
              <w:rPr>
                <w:rFonts w:hint="eastAsia" w:ascii="楷体" w:hAnsi="楷体" w:eastAsia="楷体"/>
                <w:sz w:val="24"/>
                <w:szCs w:val="24"/>
              </w:rPr>
              <w:t>查见20</w:t>
            </w:r>
            <w:r>
              <w:rPr>
                <w:rFonts w:hint="eastAsia" w:ascii="楷体" w:hAnsi="楷体" w:eastAsia="楷体"/>
                <w:sz w:val="24"/>
                <w:szCs w:val="24"/>
                <w:lang w:val="en-US" w:eastAsia="zh-CN"/>
              </w:rPr>
              <w:t>20</w:t>
            </w:r>
            <w:r>
              <w:rPr>
                <w:rFonts w:hint="eastAsia" w:ascii="楷体" w:hAnsi="楷体" w:eastAsia="楷体"/>
                <w:sz w:val="24"/>
                <w:szCs w:val="24"/>
              </w:rPr>
              <w:t>年</w:t>
            </w:r>
            <w:r>
              <w:rPr>
                <w:rFonts w:hint="eastAsia" w:ascii="楷体" w:hAnsi="楷体" w:eastAsia="楷体"/>
                <w:sz w:val="24"/>
                <w:szCs w:val="24"/>
                <w:lang w:val="en-US" w:eastAsia="zh-CN"/>
              </w:rPr>
              <w:t>12</w:t>
            </w:r>
            <w:r>
              <w:rPr>
                <w:rFonts w:hint="eastAsia" w:ascii="楷体" w:hAnsi="楷体" w:eastAsia="楷体"/>
                <w:sz w:val="24"/>
                <w:szCs w:val="24"/>
              </w:rPr>
              <w:t>月的“设备</w:t>
            </w:r>
            <w:r>
              <w:rPr>
                <w:rFonts w:hint="eastAsia" w:ascii="楷体" w:hAnsi="楷体" w:eastAsia="楷体"/>
                <w:sz w:val="24"/>
                <w:szCs w:val="24"/>
                <w:lang w:val="en-US" w:eastAsia="zh-CN"/>
              </w:rPr>
              <w:t>检修记录</w:t>
            </w:r>
            <w:r>
              <w:rPr>
                <w:rFonts w:hint="eastAsia" w:ascii="楷体" w:hAnsi="楷体" w:eastAsia="楷体"/>
                <w:sz w:val="24"/>
                <w:szCs w:val="24"/>
              </w:rPr>
              <w:t>”。设备名称</w:t>
            </w:r>
            <w:r>
              <w:rPr>
                <w:rFonts w:hint="eastAsia" w:ascii="楷体" w:hAnsi="楷体" w:eastAsia="楷体"/>
                <w:sz w:val="24"/>
                <w:szCs w:val="24"/>
                <w:lang w:val="en-US" w:eastAsia="zh-CN"/>
              </w:rPr>
              <w:t>搅拌机</w:t>
            </w:r>
            <w:r>
              <w:rPr>
                <w:rFonts w:hint="eastAsia" w:ascii="楷体" w:hAnsi="楷体" w:eastAsia="楷体"/>
                <w:sz w:val="24"/>
                <w:szCs w:val="24"/>
              </w:rPr>
              <w:t>，检修发现</w:t>
            </w:r>
            <w:r>
              <w:rPr>
                <w:rFonts w:hint="eastAsia" w:ascii="楷体" w:hAnsi="楷体" w:eastAsia="楷体"/>
                <w:sz w:val="24"/>
                <w:szCs w:val="24"/>
                <w:lang w:val="en-US" w:eastAsia="zh-CN"/>
              </w:rPr>
              <w:t>搅拌机皮带</w:t>
            </w:r>
            <w:r>
              <w:rPr>
                <w:rFonts w:hint="eastAsia" w:ascii="楷体" w:hAnsi="楷体" w:eastAsia="楷体"/>
                <w:sz w:val="24"/>
                <w:szCs w:val="24"/>
              </w:rPr>
              <w:t>磨损严重，更换了</w:t>
            </w:r>
            <w:r>
              <w:rPr>
                <w:rFonts w:hint="eastAsia" w:ascii="楷体" w:hAnsi="楷体" w:eastAsia="楷体"/>
                <w:sz w:val="24"/>
                <w:szCs w:val="24"/>
                <w:lang w:val="en-US" w:eastAsia="zh-CN"/>
              </w:rPr>
              <w:t>皮带</w:t>
            </w:r>
            <w:r>
              <w:rPr>
                <w:rFonts w:hint="eastAsia" w:ascii="楷体" w:hAnsi="楷体" w:eastAsia="楷体"/>
                <w:sz w:val="24"/>
                <w:szCs w:val="24"/>
              </w:rPr>
              <w:t>，维修后符合要求，维修人</w:t>
            </w:r>
            <w:r>
              <w:rPr>
                <w:rFonts w:hint="eastAsia" w:ascii="楷体" w:hAnsi="楷体" w:eastAsia="楷体"/>
                <w:sz w:val="24"/>
                <w:szCs w:val="24"/>
                <w:lang w:val="en-US" w:eastAsia="zh-CN"/>
              </w:rPr>
              <w:t>江启斌</w:t>
            </w:r>
            <w:r>
              <w:rPr>
                <w:rFonts w:hint="eastAsia" w:ascii="楷体" w:hAnsi="楷体" w:eastAsia="楷体"/>
                <w:sz w:val="24"/>
                <w:szCs w:val="24"/>
              </w:rPr>
              <w:t>。</w:t>
            </w:r>
          </w:p>
          <w:p>
            <w:pPr>
              <w:spacing w:line="360" w:lineRule="auto"/>
              <w:rPr>
                <w:rFonts w:ascii="楷体" w:hAnsi="楷体" w:eastAsia="楷体"/>
                <w:sz w:val="24"/>
                <w:szCs w:val="24"/>
              </w:rPr>
            </w:pPr>
            <w:r>
              <w:rPr>
                <w:rFonts w:hint="eastAsia" w:ascii="楷体" w:hAnsi="楷体" w:eastAsia="楷体"/>
                <w:sz w:val="24"/>
                <w:szCs w:val="24"/>
              </w:rPr>
              <w:t>提供了设备点检表，</w:t>
            </w:r>
          </w:p>
          <w:p>
            <w:pPr>
              <w:spacing w:line="360" w:lineRule="auto"/>
              <w:rPr>
                <w:rFonts w:ascii="楷体" w:hAnsi="楷体" w:eastAsia="楷体"/>
                <w:sz w:val="24"/>
                <w:szCs w:val="24"/>
              </w:rPr>
            </w:pPr>
            <w:r>
              <w:rPr>
                <w:rFonts w:hint="eastAsia" w:ascii="楷体" w:hAnsi="楷体" w:eastAsia="楷体"/>
                <w:sz w:val="24"/>
                <w:szCs w:val="24"/>
              </w:rPr>
              <w:t>抽查20</w:t>
            </w:r>
            <w:r>
              <w:rPr>
                <w:rFonts w:hint="eastAsia" w:ascii="楷体" w:hAnsi="楷体" w:eastAsia="楷体"/>
                <w:sz w:val="24"/>
                <w:szCs w:val="24"/>
                <w:lang w:val="en-US" w:eastAsia="zh-CN"/>
              </w:rPr>
              <w:t>21</w:t>
            </w:r>
            <w:r>
              <w:rPr>
                <w:rFonts w:hint="eastAsia" w:ascii="楷体" w:hAnsi="楷体" w:eastAsia="楷体"/>
                <w:sz w:val="24"/>
                <w:szCs w:val="24"/>
              </w:rPr>
              <w:t>年</w:t>
            </w:r>
            <w:r>
              <w:rPr>
                <w:rFonts w:hint="eastAsia" w:ascii="楷体" w:hAnsi="楷体" w:eastAsia="楷体"/>
                <w:sz w:val="24"/>
                <w:szCs w:val="24"/>
                <w:lang w:val="en-US" w:eastAsia="zh-CN"/>
              </w:rPr>
              <w:t>2</w:t>
            </w:r>
            <w:r>
              <w:rPr>
                <w:rFonts w:hint="eastAsia" w:ascii="楷体" w:hAnsi="楷体" w:eastAsia="楷体"/>
                <w:sz w:val="24"/>
                <w:szCs w:val="24"/>
              </w:rPr>
              <w:t>月车间设备点检表，点检项目：设备表面是否清洁、电机有无异响、发热、真空箱滤网有无杂物堵塞、设备上水电气工作是否正常等14项，点检无故障，点检人员</w:t>
            </w:r>
            <w:r>
              <w:rPr>
                <w:rFonts w:hint="eastAsia" w:ascii="楷体" w:hAnsi="楷体" w:eastAsia="楷体"/>
                <w:sz w:val="24"/>
                <w:szCs w:val="24"/>
                <w:lang w:val="en-US" w:eastAsia="zh-CN"/>
              </w:rPr>
              <w:t>江启斌</w:t>
            </w:r>
            <w:r>
              <w:rPr>
                <w:rFonts w:hint="eastAsia" w:ascii="楷体" w:hAnsi="楷体" w:eastAsia="楷体"/>
                <w:sz w:val="24"/>
                <w:szCs w:val="24"/>
              </w:rPr>
              <w:t>。</w:t>
            </w:r>
          </w:p>
          <w:p>
            <w:pPr>
              <w:spacing w:line="360" w:lineRule="auto"/>
              <w:rPr>
                <w:rFonts w:ascii="楷体" w:hAnsi="楷体" w:eastAsia="楷体"/>
                <w:sz w:val="24"/>
                <w:szCs w:val="24"/>
              </w:rPr>
            </w:pPr>
            <w:r>
              <w:rPr>
                <w:rFonts w:hint="eastAsia" w:ascii="楷体" w:hAnsi="楷体" w:eastAsia="楷体"/>
                <w:sz w:val="24"/>
                <w:szCs w:val="24"/>
              </w:rPr>
              <w:t>现场观察到上述生产设备及辅助设备运行状态正常。</w:t>
            </w:r>
          </w:p>
          <w:p>
            <w:pPr>
              <w:spacing w:line="360" w:lineRule="auto"/>
              <w:rPr>
                <w:rFonts w:ascii="楷体" w:hAnsi="楷体" w:eastAsia="楷体"/>
                <w:sz w:val="24"/>
                <w:szCs w:val="24"/>
              </w:rPr>
            </w:pPr>
            <w:r>
              <w:rPr>
                <w:rFonts w:hint="eastAsia" w:ascii="楷体" w:hAnsi="楷体" w:eastAsia="楷体"/>
                <w:sz w:val="24"/>
                <w:szCs w:val="24"/>
              </w:rPr>
              <w:t>查特种设备：</w:t>
            </w:r>
            <w:r>
              <w:rPr>
                <w:rFonts w:hint="eastAsia" w:ascii="楷体" w:hAnsi="楷体" w:eastAsia="楷体"/>
                <w:sz w:val="24"/>
                <w:szCs w:val="24"/>
                <w:lang w:val="en-US" w:eastAsia="zh-CN"/>
              </w:rPr>
              <w:t>无</w:t>
            </w:r>
            <w:r>
              <w:rPr>
                <w:rFonts w:hint="eastAsia" w:ascii="楷体" w:hAnsi="楷体" w:eastAsia="楷体"/>
                <w:sz w:val="24"/>
                <w:szCs w:val="24"/>
              </w:rPr>
              <w:t>。</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84" w:type="dxa"/>
            <w:vAlign w:val="center"/>
          </w:tcPr>
          <w:p>
            <w:pPr>
              <w:spacing w:line="360" w:lineRule="auto"/>
              <w:jc w:val="center"/>
              <w:rPr>
                <w:rFonts w:ascii="楷体" w:hAnsi="楷体" w:eastAsia="楷体"/>
                <w:sz w:val="24"/>
                <w:szCs w:val="24"/>
              </w:rPr>
            </w:pPr>
            <w:r>
              <w:rPr>
                <w:rFonts w:hint="eastAsia" w:ascii="楷体" w:hAnsi="楷体" w:eastAsia="楷体"/>
                <w:sz w:val="24"/>
                <w:szCs w:val="24"/>
              </w:rPr>
              <w:t>过程运行环境</w:t>
            </w:r>
          </w:p>
        </w:tc>
        <w:tc>
          <w:tcPr>
            <w:tcW w:w="1276" w:type="dxa"/>
            <w:vAlign w:val="center"/>
          </w:tcPr>
          <w:p>
            <w:pPr>
              <w:spacing w:line="360" w:lineRule="auto"/>
              <w:jc w:val="center"/>
              <w:rPr>
                <w:rFonts w:ascii="楷体" w:hAnsi="楷体" w:eastAsia="楷体"/>
                <w:sz w:val="24"/>
                <w:szCs w:val="24"/>
              </w:rPr>
            </w:pPr>
            <w:r>
              <w:rPr>
                <w:rFonts w:ascii="楷体" w:hAnsi="楷体" w:eastAsia="楷体"/>
                <w:sz w:val="24"/>
                <w:szCs w:val="24"/>
              </w:rPr>
              <w:t>Q7.1.4</w:t>
            </w:r>
          </w:p>
        </w:tc>
        <w:tc>
          <w:tcPr>
            <w:tcW w:w="10464" w:type="dxa"/>
            <w:vAlign w:val="center"/>
          </w:tcPr>
          <w:p>
            <w:pPr>
              <w:spacing w:line="360" w:lineRule="auto"/>
              <w:rPr>
                <w:rFonts w:ascii="楷体" w:hAnsi="楷体" w:eastAsia="楷体"/>
                <w:sz w:val="24"/>
                <w:szCs w:val="24"/>
              </w:rPr>
            </w:pPr>
            <w:r>
              <w:rPr>
                <w:rFonts w:hint="eastAsia" w:ascii="楷体" w:hAnsi="楷体" w:eastAsia="楷体"/>
                <w:sz w:val="24"/>
                <w:szCs w:val="24"/>
              </w:rPr>
              <w:t xml:space="preserve">查公司办公面积适宜；车间布局基本合理，空间较宽敞，但是车间地面有少量粉尘，车间主任介绍每周定期清扫打扫干净，查看车间环保、消防安全设施等运行状态良好。生产区域原料存放区、生产加工半成品、产品等放置整齐，标识明确，现场巡视发现车间现场、仓库等区域/场所有按规定要求配备灭火器、安全通道畅通，现场观察到操作工按章作业，生产秩序良好。车间现场工作环境基本满足要求。过程运行环境基本满足要求。  </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84" w:type="dxa"/>
            <w:vAlign w:val="center"/>
          </w:tcPr>
          <w:p>
            <w:pPr>
              <w:spacing w:line="360" w:lineRule="auto"/>
              <w:jc w:val="center"/>
              <w:rPr>
                <w:rFonts w:ascii="楷体" w:hAnsi="楷体" w:eastAsia="楷体" w:cs="楷体"/>
                <w:sz w:val="24"/>
                <w:szCs w:val="24"/>
              </w:rPr>
            </w:pPr>
            <w:r>
              <w:rPr>
                <w:rFonts w:hint="eastAsia" w:ascii="楷体" w:hAnsi="楷体" w:eastAsia="楷体" w:cs="楷体"/>
                <w:sz w:val="24"/>
                <w:szCs w:val="24"/>
              </w:rPr>
              <w:t>监视和测量资源的控制</w:t>
            </w:r>
          </w:p>
        </w:tc>
        <w:tc>
          <w:tcPr>
            <w:tcW w:w="1276" w:type="dxa"/>
            <w:vAlign w:val="center"/>
          </w:tcPr>
          <w:p>
            <w:pPr>
              <w:spacing w:line="360" w:lineRule="auto"/>
              <w:jc w:val="center"/>
              <w:rPr>
                <w:rFonts w:ascii="楷体" w:hAnsi="楷体" w:eastAsia="楷体" w:cs="楷体"/>
                <w:sz w:val="24"/>
                <w:szCs w:val="24"/>
              </w:rPr>
            </w:pPr>
            <w:r>
              <w:rPr>
                <w:rFonts w:ascii="楷体" w:hAnsi="楷体" w:eastAsia="楷体" w:cs="楷体"/>
                <w:sz w:val="24"/>
                <w:szCs w:val="24"/>
              </w:rPr>
              <w:t>Q7.1.5</w:t>
            </w:r>
          </w:p>
        </w:tc>
        <w:tc>
          <w:tcPr>
            <w:tcW w:w="10464" w:type="dxa"/>
            <w:vAlign w:val="center"/>
          </w:tcPr>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公司为确保产品监视和测量活动需</w:t>
            </w:r>
            <w:r>
              <w:rPr>
                <w:rFonts w:hint="eastAsia" w:ascii="楷体" w:hAnsi="楷体" w:eastAsia="楷体"/>
                <w:sz w:val="24"/>
                <w:szCs w:val="24"/>
              </w:rPr>
              <w:t>要，提供并配备了游标卡尺、钢卷尺、电子万能试验机</w:t>
            </w:r>
            <w:r>
              <w:rPr>
                <w:rFonts w:hint="eastAsia" w:ascii="楷体" w:hAnsi="楷体" w:eastAsia="楷体"/>
                <w:sz w:val="24"/>
                <w:szCs w:val="24"/>
                <w:lang w:eastAsia="zh-CN"/>
              </w:rPr>
              <w:t>、</w:t>
            </w:r>
            <w:r>
              <w:rPr>
                <w:rFonts w:hint="eastAsia" w:ascii="楷体" w:hAnsi="楷体" w:eastAsia="楷体"/>
                <w:sz w:val="24"/>
                <w:szCs w:val="24"/>
                <w:lang w:val="en-US" w:eastAsia="zh-CN"/>
              </w:rPr>
              <w:t>电子台秤等</w:t>
            </w:r>
            <w:r>
              <w:rPr>
                <w:rFonts w:hint="eastAsia" w:ascii="楷体" w:hAnsi="楷体" w:eastAsia="楷体"/>
                <w:sz w:val="24"/>
                <w:szCs w:val="24"/>
              </w:rPr>
              <w:t>监视和测量设备，公司有按策划的时间间隔对上述监视和测量资源实施校准/检定。</w:t>
            </w:r>
          </w:p>
          <w:p>
            <w:pPr>
              <w:spacing w:line="360" w:lineRule="auto"/>
              <w:rPr>
                <w:rFonts w:ascii="楷体" w:hAnsi="楷体" w:eastAsia="楷体" w:cs="楷体"/>
                <w:sz w:val="24"/>
                <w:szCs w:val="24"/>
              </w:rPr>
            </w:pPr>
            <w:r>
              <w:rPr>
                <w:rFonts w:hint="eastAsia" w:ascii="楷体" w:hAnsi="楷体" w:eastAsia="楷体" w:cs="楷体"/>
                <w:sz w:val="24"/>
                <w:szCs w:val="24"/>
              </w:rPr>
              <w:t>抽查电子</w:t>
            </w:r>
            <w:r>
              <w:rPr>
                <w:rFonts w:hint="eastAsia" w:ascii="楷体" w:hAnsi="楷体" w:eastAsia="楷体" w:cs="楷体"/>
                <w:sz w:val="24"/>
                <w:szCs w:val="24"/>
                <w:lang w:val="en-US" w:eastAsia="zh-CN"/>
              </w:rPr>
              <w:t>台秤检定</w:t>
            </w:r>
            <w:r>
              <w:rPr>
                <w:rFonts w:hint="eastAsia" w:ascii="楷体" w:hAnsi="楷体" w:eastAsia="楷体" w:cs="楷体"/>
                <w:sz w:val="24"/>
                <w:szCs w:val="24"/>
              </w:rPr>
              <w:t xml:space="preserve">证书  </w:t>
            </w:r>
            <w:r>
              <w:rPr>
                <w:rFonts w:hint="eastAsia" w:ascii="楷体" w:hAnsi="楷体" w:eastAsia="楷体" w:cs="楷体"/>
                <w:sz w:val="24"/>
                <w:szCs w:val="24"/>
                <w:lang w:val="en-US" w:eastAsia="zh-CN"/>
              </w:rPr>
              <w:t>812030099</w:t>
            </w:r>
            <w:r>
              <w:rPr>
                <w:rFonts w:hint="eastAsia" w:ascii="楷体" w:hAnsi="楷体" w:eastAsia="楷体" w:cs="楷体"/>
                <w:sz w:val="24"/>
                <w:szCs w:val="24"/>
              </w:rPr>
              <w:t xml:space="preserve">   规格/型号：</w:t>
            </w:r>
            <w:r>
              <w:rPr>
                <w:rFonts w:hint="eastAsia" w:ascii="楷体" w:hAnsi="楷体" w:eastAsia="楷体" w:cs="楷体"/>
                <w:sz w:val="24"/>
                <w:szCs w:val="24"/>
                <w:lang w:val="en-US" w:eastAsia="zh-CN"/>
              </w:rPr>
              <w:t>TCS-150</w:t>
            </w:r>
            <w:r>
              <w:rPr>
                <w:rFonts w:hint="eastAsia" w:ascii="楷体" w:hAnsi="楷体" w:eastAsia="楷体" w:cs="楷体"/>
                <w:sz w:val="24"/>
                <w:szCs w:val="24"/>
              </w:rPr>
              <w:t xml:space="preserve">    </w:t>
            </w:r>
          </w:p>
          <w:p>
            <w:pPr>
              <w:spacing w:line="360" w:lineRule="auto"/>
              <w:rPr>
                <w:rFonts w:ascii="楷体" w:hAnsi="楷体" w:eastAsia="楷体" w:cs="楷体"/>
                <w:sz w:val="24"/>
                <w:szCs w:val="24"/>
              </w:rPr>
            </w:pPr>
            <w:r>
              <w:rPr>
                <w:rFonts w:hint="eastAsia" w:ascii="楷体" w:hAnsi="楷体" w:eastAsia="楷体" w:cs="楷体"/>
                <w:sz w:val="24"/>
                <w:szCs w:val="24"/>
              </w:rPr>
              <w:t>检定日期：20</w:t>
            </w:r>
            <w:r>
              <w:rPr>
                <w:rFonts w:hint="eastAsia" w:ascii="楷体" w:hAnsi="楷体" w:eastAsia="楷体" w:cs="楷体"/>
                <w:sz w:val="24"/>
                <w:szCs w:val="24"/>
                <w:lang w:val="en-US" w:eastAsia="zh-CN"/>
              </w:rPr>
              <w:t>20</w:t>
            </w:r>
            <w:r>
              <w:rPr>
                <w:rFonts w:hint="eastAsia" w:ascii="楷体" w:hAnsi="楷体" w:eastAsia="楷体" w:cs="楷体"/>
                <w:sz w:val="24"/>
                <w:szCs w:val="24"/>
              </w:rPr>
              <w:t>.</w:t>
            </w:r>
            <w:r>
              <w:rPr>
                <w:rFonts w:hint="eastAsia" w:ascii="楷体" w:hAnsi="楷体" w:eastAsia="楷体" w:cs="楷体"/>
                <w:sz w:val="24"/>
                <w:szCs w:val="24"/>
                <w:lang w:val="en-US" w:eastAsia="zh-CN"/>
              </w:rPr>
              <w:t>5</w:t>
            </w:r>
            <w:r>
              <w:rPr>
                <w:rFonts w:hint="eastAsia" w:ascii="楷体" w:hAnsi="楷体" w:eastAsia="楷体" w:cs="楷体"/>
                <w:sz w:val="24"/>
                <w:szCs w:val="24"/>
              </w:rPr>
              <w:t>.</w:t>
            </w:r>
            <w:r>
              <w:rPr>
                <w:rFonts w:hint="eastAsia" w:ascii="楷体" w:hAnsi="楷体" w:eastAsia="楷体" w:cs="楷体"/>
                <w:sz w:val="24"/>
                <w:szCs w:val="24"/>
                <w:lang w:val="en-US" w:eastAsia="zh-CN"/>
              </w:rPr>
              <w:t>27</w:t>
            </w:r>
            <w:r>
              <w:rPr>
                <w:rFonts w:hint="eastAsia" w:ascii="楷体" w:hAnsi="楷体" w:eastAsia="楷体" w:cs="楷体"/>
                <w:sz w:val="24"/>
                <w:szCs w:val="24"/>
              </w:rPr>
              <w:t xml:space="preserve">   有效期限：1年</w:t>
            </w:r>
          </w:p>
          <w:p>
            <w:pPr>
              <w:spacing w:line="360" w:lineRule="auto"/>
              <w:rPr>
                <w:rFonts w:hint="default" w:ascii="楷体" w:hAnsi="楷体" w:eastAsia="楷体" w:cs="楷体"/>
                <w:sz w:val="24"/>
                <w:szCs w:val="24"/>
                <w:lang w:val="en-US" w:eastAsia="zh-CN"/>
              </w:rPr>
            </w:pPr>
            <w:r>
              <w:rPr>
                <w:rFonts w:hint="eastAsia" w:ascii="楷体" w:hAnsi="楷体" w:eastAsia="楷体" w:cs="楷体"/>
                <w:sz w:val="24"/>
                <w:szCs w:val="24"/>
              </w:rPr>
              <w:t>检定单位：</w:t>
            </w:r>
            <w:r>
              <w:rPr>
                <w:rFonts w:hint="eastAsia" w:ascii="楷体" w:hAnsi="楷体" w:eastAsia="楷体" w:cs="楷体"/>
                <w:sz w:val="24"/>
                <w:szCs w:val="24"/>
                <w:lang w:val="en-US" w:eastAsia="zh-CN"/>
              </w:rPr>
              <w:t>安庆市计量测试所</w:t>
            </w:r>
          </w:p>
          <w:p>
            <w:pPr>
              <w:spacing w:line="360" w:lineRule="auto"/>
              <w:rPr>
                <w:rFonts w:ascii="楷体" w:hAnsi="楷体" w:eastAsia="楷体" w:cs="楷体"/>
                <w:sz w:val="24"/>
                <w:szCs w:val="24"/>
              </w:rPr>
            </w:pPr>
            <w:r>
              <w:rPr>
                <w:rFonts w:hint="eastAsia" w:ascii="楷体" w:hAnsi="楷体" w:eastAsia="楷体" w:cs="楷体"/>
                <w:sz w:val="24"/>
                <w:szCs w:val="24"/>
              </w:rPr>
              <w:t>抽查钢卷尺</w:t>
            </w:r>
            <w:r>
              <w:rPr>
                <w:rFonts w:hint="eastAsia" w:ascii="楷体" w:hAnsi="楷体" w:eastAsia="楷体" w:cs="楷体"/>
                <w:sz w:val="24"/>
                <w:szCs w:val="24"/>
                <w:lang w:val="en-US" w:eastAsia="zh-CN"/>
              </w:rPr>
              <w:t>检定</w:t>
            </w:r>
            <w:r>
              <w:rPr>
                <w:rFonts w:hint="eastAsia" w:ascii="楷体" w:hAnsi="楷体" w:eastAsia="楷体" w:cs="楷体"/>
                <w:sz w:val="24"/>
                <w:szCs w:val="24"/>
              </w:rPr>
              <w:t xml:space="preserve">证书  </w:t>
            </w:r>
            <w:r>
              <w:rPr>
                <w:rFonts w:hint="eastAsia" w:ascii="楷体" w:hAnsi="楷体" w:eastAsia="楷体" w:cs="楷体"/>
                <w:sz w:val="24"/>
                <w:szCs w:val="24"/>
                <w:lang w:val="en-US" w:eastAsia="zh-CN"/>
              </w:rPr>
              <w:t>812033349</w:t>
            </w:r>
            <w:r>
              <w:rPr>
                <w:rFonts w:hint="eastAsia" w:ascii="楷体" w:hAnsi="楷体" w:eastAsia="楷体" w:cs="楷体"/>
                <w:sz w:val="24"/>
                <w:szCs w:val="24"/>
              </w:rPr>
              <w:t xml:space="preserve">   规格/型号：</w:t>
            </w:r>
            <w:r>
              <w:rPr>
                <w:rFonts w:hint="eastAsia" w:ascii="楷体" w:hAnsi="楷体" w:eastAsia="楷体" w:cs="楷体"/>
                <w:sz w:val="24"/>
                <w:szCs w:val="24"/>
                <w:lang w:val="en-US" w:eastAsia="zh-CN"/>
              </w:rPr>
              <w:t>5</w:t>
            </w:r>
            <w:r>
              <w:rPr>
                <w:rFonts w:hint="eastAsia" w:ascii="楷体" w:hAnsi="楷体" w:eastAsia="楷体" w:cs="楷体"/>
                <w:sz w:val="24"/>
                <w:szCs w:val="24"/>
              </w:rPr>
              <w:t>m</w:t>
            </w:r>
          </w:p>
          <w:p>
            <w:pPr>
              <w:spacing w:line="360" w:lineRule="auto"/>
              <w:rPr>
                <w:rFonts w:hint="eastAsia" w:ascii="楷体" w:hAnsi="楷体" w:eastAsia="楷体" w:cs="楷体"/>
                <w:sz w:val="24"/>
                <w:szCs w:val="24"/>
              </w:rPr>
            </w:pPr>
            <w:r>
              <w:rPr>
                <w:rFonts w:hint="eastAsia" w:ascii="楷体" w:hAnsi="楷体" w:eastAsia="楷体" w:cs="楷体"/>
                <w:sz w:val="24"/>
                <w:szCs w:val="24"/>
              </w:rPr>
              <w:t>检定日期：20</w:t>
            </w:r>
            <w:r>
              <w:rPr>
                <w:rFonts w:hint="eastAsia" w:ascii="楷体" w:hAnsi="楷体" w:eastAsia="楷体" w:cs="楷体"/>
                <w:sz w:val="24"/>
                <w:szCs w:val="24"/>
                <w:lang w:val="en-US" w:eastAsia="zh-CN"/>
              </w:rPr>
              <w:t>20</w:t>
            </w:r>
            <w:r>
              <w:rPr>
                <w:rFonts w:hint="eastAsia" w:ascii="楷体" w:hAnsi="楷体" w:eastAsia="楷体" w:cs="楷体"/>
                <w:sz w:val="24"/>
                <w:szCs w:val="24"/>
              </w:rPr>
              <w:t>.</w:t>
            </w:r>
            <w:r>
              <w:rPr>
                <w:rFonts w:hint="eastAsia" w:ascii="楷体" w:hAnsi="楷体" w:eastAsia="楷体" w:cs="楷体"/>
                <w:sz w:val="24"/>
                <w:szCs w:val="24"/>
                <w:lang w:val="en-US" w:eastAsia="zh-CN"/>
              </w:rPr>
              <w:t>11</w:t>
            </w:r>
            <w:r>
              <w:rPr>
                <w:rFonts w:hint="eastAsia" w:ascii="楷体" w:hAnsi="楷体" w:eastAsia="楷体" w:cs="楷体"/>
                <w:sz w:val="24"/>
                <w:szCs w:val="24"/>
              </w:rPr>
              <w:t>.</w:t>
            </w:r>
            <w:r>
              <w:rPr>
                <w:rFonts w:hint="eastAsia" w:ascii="楷体" w:hAnsi="楷体" w:eastAsia="楷体" w:cs="楷体"/>
                <w:sz w:val="24"/>
                <w:szCs w:val="24"/>
                <w:lang w:val="en-US" w:eastAsia="zh-CN"/>
              </w:rPr>
              <w:t>6</w:t>
            </w:r>
            <w:r>
              <w:rPr>
                <w:rFonts w:hint="eastAsia" w:ascii="楷体" w:hAnsi="楷体" w:eastAsia="楷体" w:cs="楷体"/>
                <w:sz w:val="24"/>
                <w:szCs w:val="24"/>
              </w:rPr>
              <w:t xml:space="preserve">   有效期限：1年;</w:t>
            </w:r>
          </w:p>
          <w:p>
            <w:pPr>
              <w:spacing w:line="360" w:lineRule="auto"/>
              <w:rPr>
                <w:rFonts w:hint="eastAsia" w:ascii="楷体" w:hAnsi="楷体" w:eastAsia="楷体" w:cs="楷体"/>
                <w:sz w:val="24"/>
                <w:szCs w:val="24"/>
              </w:rPr>
            </w:pPr>
            <w:r>
              <w:rPr>
                <w:rFonts w:hint="eastAsia" w:ascii="楷体" w:hAnsi="楷体" w:eastAsia="楷体" w:cs="楷体"/>
                <w:sz w:val="24"/>
                <w:szCs w:val="24"/>
              </w:rPr>
              <w:t>检定单位：</w:t>
            </w:r>
            <w:r>
              <w:rPr>
                <w:rFonts w:hint="eastAsia" w:ascii="楷体" w:hAnsi="楷体" w:eastAsia="楷体" w:cs="楷体"/>
                <w:sz w:val="24"/>
                <w:szCs w:val="24"/>
                <w:lang w:val="en-US" w:eastAsia="zh-CN"/>
              </w:rPr>
              <w:t>安庆市计量测试所</w:t>
            </w:r>
          </w:p>
          <w:p>
            <w:pPr>
              <w:spacing w:line="360" w:lineRule="auto"/>
              <w:rPr>
                <w:rFonts w:hint="default" w:ascii="楷体" w:hAnsi="楷体" w:eastAsia="楷体" w:cs="楷体"/>
                <w:sz w:val="24"/>
                <w:szCs w:val="24"/>
                <w:lang w:val="en-US" w:eastAsia="zh-CN"/>
              </w:rPr>
            </w:pPr>
            <w:r>
              <w:rPr>
                <w:rFonts w:hint="eastAsia" w:ascii="楷体" w:hAnsi="楷体" w:eastAsia="楷体" w:cs="楷体"/>
                <w:sz w:val="24"/>
                <w:szCs w:val="24"/>
              </w:rPr>
              <w:t>抽查</w:t>
            </w:r>
            <w:r>
              <w:rPr>
                <w:rFonts w:hint="eastAsia" w:ascii="楷体" w:hAnsi="楷体" w:eastAsia="楷体" w:cs="楷体"/>
                <w:sz w:val="24"/>
                <w:szCs w:val="24"/>
                <w:lang w:val="en-US" w:eastAsia="zh-CN"/>
              </w:rPr>
              <w:t>游标卡尺</w:t>
            </w:r>
            <w:r>
              <w:rPr>
                <w:rFonts w:hint="eastAsia" w:ascii="楷体" w:hAnsi="楷体" w:eastAsia="楷体" w:cs="楷体"/>
                <w:sz w:val="24"/>
                <w:szCs w:val="24"/>
              </w:rPr>
              <w:t xml:space="preserve">证书  </w:t>
            </w:r>
            <w:r>
              <w:rPr>
                <w:rFonts w:hint="eastAsia" w:ascii="楷体" w:hAnsi="楷体" w:eastAsia="楷体" w:cs="楷体"/>
                <w:sz w:val="24"/>
                <w:szCs w:val="24"/>
                <w:lang w:val="en-US" w:eastAsia="zh-CN"/>
              </w:rPr>
              <w:t>912015097-001</w:t>
            </w:r>
            <w:r>
              <w:rPr>
                <w:rFonts w:hint="eastAsia" w:ascii="楷体" w:hAnsi="楷体" w:eastAsia="楷体" w:cs="楷体"/>
                <w:sz w:val="24"/>
                <w:szCs w:val="24"/>
              </w:rPr>
              <w:t xml:space="preserve">   规格/型号：</w:t>
            </w:r>
            <w:r>
              <w:rPr>
                <w:rFonts w:hint="eastAsia" w:ascii="楷体" w:hAnsi="楷体" w:eastAsia="楷体" w:cs="楷体"/>
                <w:sz w:val="24"/>
                <w:szCs w:val="24"/>
                <w:lang w:val="en-US" w:eastAsia="zh-CN"/>
              </w:rPr>
              <w:t>0-150mm</w:t>
            </w:r>
          </w:p>
          <w:p>
            <w:pPr>
              <w:spacing w:line="360" w:lineRule="auto"/>
              <w:rPr>
                <w:rFonts w:hint="eastAsia" w:ascii="楷体" w:hAnsi="楷体" w:eastAsia="楷体" w:cs="楷体"/>
                <w:sz w:val="24"/>
                <w:szCs w:val="24"/>
              </w:rPr>
            </w:pPr>
            <w:r>
              <w:rPr>
                <w:rFonts w:hint="eastAsia" w:ascii="楷体" w:hAnsi="楷体" w:eastAsia="楷体" w:cs="楷体"/>
                <w:sz w:val="24"/>
                <w:szCs w:val="24"/>
              </w:rPr>
              <w:t>检定日期：20</w:t>
            </w:r>
            <w:r>
              <w:rPr>
                <w:rFonts w:hint="eastAsia" w:ascii="楷体" w:hAnsi="楷体" w:eastAsia="楷体" w:cs="楷体"/>
                <w:sz w:val="24"/>
                <w:szCs w:val="24"/>
                <w:lang w:val="en-US" w:eastAsia="zh-CN"/>
              </w:rPr>
              <w:t>20</w:t>
            </w:r>
            <w:r>
              <w:rPr>
                <w:rFonts w:hint="eastAsia" w:ascii="楷体" w:hAnsi="楷体" w:eastAsia="楷体" w:cs="楷体"/>
                <w:sz w:val="24"/>
                <w:szCs w:val="24"/>
              </w:rPr>
              <w:t>.</w:t>
            </w:r>
            <w:r>
              <w:rPr>
                <w:rFonts w:hint="eastAsia" w:ascii="楷体" w:hAnsi="楷体" w:eastAsia="楷体" w:cs="楷体"/>
                <w:sz w:val="24"/>
                <w:szCs w:val="24"/>
                <w:lang w:val="en-US" w:eastAsia="zh-CN"/>
              </w:rPr>
              <w:t>11</w:t>
            </w:r>
            <w:r>
              <w:rPr>
                <w:rFonts w:hint="eastAsia" w:ascii="楷体" w:hAnsi="楷体" w:eastAsia="楷体" w:cs="楷体"/>
                <w:sz w:val="24"/>
                <w:szCs w:val="24"/>
              </w:rPr>
              <w:t>.</w:t>
            </w:r>
            <w:r>
              <w:rPr>
                <w:rFonts w:hint="eastAsia" w:ascii="楷体" w:hAnsi="楷体" w:eastAsia="楷体" w:cs="楷体"/>
                <w:sz w:val="24"/>
                <w:szCs w:val="24"/>
                <w:lang w:val="en-US" w:eastAsia="zh-CN"/>
              </w:rPr>
              <w:t>6</w:t>
            </w:r>
            <w:r>
              <w:rPr>
                <w:rFonts w:hint="eastAsia" w:ascii="楷体" w:hAnsi="楷体" w:eastAsia="楷体" w:cs="楷体"/>
                <w:sz w:val="24"/>
                <w:szCs w:val="24"/>
              </w:rPr>
              <w:t xml:space="preserve">   有效期限：1年;</w:t>
            </w:r>
          </w:p>
          <w:p>
            <w:pPr>
              <w:spacing w:line="360" w:lineRule="auto"/>
              <w:rPr>
                <w:rFonts w:hint="eastAsia" w:ascii="楷体" w:hAnsi="楷体" w:eastAsia="楷体" w:cs="楷体"/>
                <w:sz w:val="24"/>
                <w:szCs w:val="24"/>
              </w:rPr>
            </w:pPr>
            <w:r>
              <w:rPr>
                <w:rFonts w:hint="eastAsia" w:ascii="楷体" w:hAnsi="楷体" w:eastAsia="楷体" w:cs="楷体"/>
                <w:sz w:val="24"/>
                <w:szCs w:val="24"/>
              </w:rPr>
              <w:t>检定单位：</w:t>
            </w:r>
            <w:r>
              <w:rPr>
                <w:rFonts w:hint="eastAsia" w:ascii="楷体" w:hAnsi="楷体" w:eastAsia="楷体" w:cs="楷体"/>
                <w:sz w:val="24"/>
                <w:szCs w:val="24"/>
                <w:lang w:val="en-US" w:eastAsia="zh-CN"/>
              </w:rPr>
              <w:t>安庆市计量测试所</w:t>
            </w:r>
          </w:p>
          <w:p>
            <w:pPr>
              <w:spacing w:line="360" w:lineRule="auto"/>
              <w:rPr>
                <w:rFonts w:hint="default" w:ascii="楷体" w:hAnsi="楷体" w:eastAsia="楷体" w:cs="楷体"/>
                <w:sz w:val="24"/>
                <w:szCs w:val="24"/>
                <w:lang w:val="en-US" w:eastAsia="zh-CN"/>
              </w:rPr>
            </w:pPr>
            <w:r>
              <w:rPr>
                <w:rFonts w:hint="eastAsia" w:ascii="楷体" w:hAnsi="楷体" w:eastAsia="楷体" w:cs="楷体"/>
                <w:sz w:val="24"/>
                <w:szCs w:val="24"/>
              </w:rPr>
              <w:t>抽查</w:t>
            </w:r>
            <w:r>
              <w:rPr>
                <w:rFonts w:hint="eastAsia" w:ascii="楷体" w:hAnsi="楷体" w:eastAsia="楷体" w:cs="楷体"/>
                <w:sz w:val="24"/>
                <w:szCs w:val="24"/>
                <w:lang w:val="en-US" w:eastAsia="zh-CN"/>
              </w:rPr>
              <w:t>电子万能试验机</w:t>
            </w:r>
            <w:r>
              <w:rPr>
                <w:rFonts w:hint="eastAsia" w:ascii="楷体" w:hAnsi="楷体" w:eastAsia="楷体" w:cs="楷体"/>
                <w:sz w:val="24"/>
                <w:szCs w:val="24"/>
              </w:rPr>
              <w:t xml:space="preserve">校准证书  </w:t>
            </w:r>
            <w:r>
              <w:rPr>
                <w:rFonts w:hint="eastAsia" w:ascii="楷体" w:hAnsi="楷体" w:eastAsia="楷体" w:cs="楷体"/>
                <w:sz w:val="24"/>
                <w:szCs w:val="24"/>
                <w:lang w:val="en-US" w:eastAsia="zh-CN"/>
              </w:rPr>
              <w:t>HK2010130879</w:t>
            </w:r>
            <w:r>
              <w:rPr>
                <w:rFonts w:hint="eastAsia" w:ascii="楷体" w:hAnsi="楷体" w:eastAsia="楷体" w:cs="楷体"/>
                <w:sz w:val="24"/>
                <w:szCs w:val="24"/>
              </w:rPr>
              <w:t xml:space="preserve">   规格/型号：</w:t>
            </w:r>
            <w:r>
              <w:rPr>
                <w:rFonts w:hint="eastAsia" w:ascii="楷体" w:hAnsi="楷体" w:eastAsia="楷体" w:cs="楷体"/>
                <w:sz w:val="24"/>
                <w:szCs w:val="24"/>
                <w:lang w:val="en-US" w:eastAsia="zh-CN"/>
              </w:rPr>
              <w:t>WDW-100</w:t>
            </w:r>
          </w:p>
          <w:p>
            <w:pPr>
              <w:spacing w:line="360" w:lineRule="auto"/>
              <w:rPr>
                <w:rFonts w:hint="eastAsia" w:ascii="楷体" w:hAnsi="楷体" w:eastAsia="楷体" w:cs="楷体"/>
                <w:sz w:val="24"/>
                <w:szCs w:val="24"/>
              </w:rPr>
            </w:pPr>
            <w:r>
              <w:rPr>
                <w:rFonts w:hint="eastAsia" w:ascii="楷体" w:hAnsi="楷体" w:eastAsia="楷体" w:cs="楷体"/>
                <w:sz w:val="24"/>
                <w:szCs w:val="24"/>
                <w:lang w:val="en-US" w:eastAsia="zh-CN"/>
              </w:rPr>
              <w:t>校准</w:t>
            </w:r>
            <w:r>
              <w:rPr>
                <w:rFonts w:hint="eastAsia" w:ascii="楷体" w:hAnsi="楷体" w:eastAsia="楷体" w:cs="楷体"/>
                <w:sz w:val="24"/>
                <w:szCs w:val="24"/>
              </w:rPr>
              <w:t>日期：20</w:t>
            </w:r>
            <w:r>
              <w:rPr>
                <w:rFonts w:hint="eastAsia" w:ascii="楷体" w:hAnsi="楷体" w:eastAsia="楷体" w:cs="楷体"/>
                <w:sz w:val="24"/>
                <w:szCs w:val="24"/>
                <w:lang w:val="en-US" w:eastAsia="zh-CN"/>
              </w:rPr>
              <w:t>20</w:t>
            </w:r>
            <w:r>
              <w:rPr>
                <w:rFonts w:hint="eastAsia" w:ascii="楷体" w:hAnsi="楷体" w:eastAsia="楷体" w:cs="楷体"/>
                <w:sz w:val="24"/>
                <w:szCs w:val="24"/>
              </w:rPr>
              <w:t>.</w:t>
            </w:r>
            <w:r>
              <w:rPr>
                <w:rFonts w:hint="eastAsia" w:ascii="楷体" w:hAnsi="楷体" w:eastAsia="楷体" w:cs="楷体"/>
                <w:sz w:val="24"/>
                <w:szCs w:val="24"/>
                <w:lang w:val="en-US" w:eastAsia="zh-CN"/>
              </w:rPr>
              <w:t>10</w:t>
            </w:r>
            <w:r>
              <w:rPr>
                <w:rFonts w:hint="eastAsia" w:ascii="楷体" w:hAnsi="楷体" w:eastAsia="楷体" w:cs="楷体"/>
                <w:sz w:val="24"/>
                <w:szCs w:val="24"/>
              </w:rPr>
              <w:t>.1</w:t>
            </w:r>
            <w:r>
              <w:rPr>
                <w:rFonts w:hint="eastAsia" w:ascii="楷体" w:hAnsi="楷体" w:eastAsia="楷体" w:cs="楷体"/>
                <w:sz w:val="24"/>
                <w:szCs w:val="24"/>
                <w:lang w:val="en-US" w:eastAsia="zh-CN"/>
              </w:rPr>
              <w:t>3</w:t>
            </w:r>
            <w:r>
              <w:rPr>
                <w:rFonts w:hint="eastAsia" w:ascii="楷体" w:hAnsi="楷体" w:eastAsia="楷体" w:cs="楷体"/>
                <w:sz w:val="24"/>
                <w:szCs w:val="24"/>
              </w:rPr>
              <w:t xml:space="preserve">   有效期限：1年;</w:t>
            </w:r>
          </w:p>
          <w:p>
            <w:pPr>
              <w:spacing w:line="360" w:lineRule="auto"/>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校准单位：深圳华科计量检测技术有限公司</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监视和测量设备由使用人负责保管维护，以防止损坏或失效, 目前尚未发现监视测量设备在检定有效期内失准的情况，监视和测量设备运行环境适宜。</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企业无需使用计算机软件用于产品的监视和测量。</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384" w:type="dxa"/>
          </w:tcPr>
          <w:p>
            <w:pPr>
              <w:spacing w:line="360" w:lineRule="auto"/>
              <w:rPr>
                <w:rFonts w:ascii="楷体" w:hAnsi="楷体" w:eastAsia="楷体" w:cs="Arial"/>
                <w:bCs/>
                <w:sz w:val="24"/>
                <w:szCs w:val="24"/>
              </w:rPr>
            </w:pPr>
            <w:r>
              <w:rPr>
                <w:rFonts w:hint="eastAsia" w:ascii="楷体" w:hAnsi="楷体" w:eastAsia="楷体" w:cs="Arial"/>
                <w:bCs/>
                <w:sz w:val="24"/>
                <w:szCs w:val="24"/>
              </w:rPr>
              <w:t>运行的策划和控制</w:t>
            </w:r>
          </w:p>
          <w:p>
            <w:pPr>
              <w:spacing w:line="360" w:lineRule="auto"/>
              <w:rPr>
                <w:rFonts w:ascii="楷体" w:hAnsi="楷体" w:eastAsia="楷体" w:cs="Arial"/>
                <w:bCs/>
                <w:sz w:val="24"/>
                <w:szCs w:val="24"/>
              </w:rPr>
            </w:pPr>
          </w:p>
        </w:tc>
        <w:tc>
          <w:tcPr>
            <w:tcW w:w="1276" w:type="dxa"/>
          </w:tcPr>
          <w:p>
            <w:pPr>
              <w:spacing w:line="360" w:lineRule="auto"/>
              <w:rPr>
                <w:rFonts w:ascii="楷体" w:hAnsi="楷体" w:eastAsia="楷体" w:cs="Arial"/>
                <w:bCs/>
                <w:sz w:val="24"/>
                <w:szCs w:val="24"/>
              </w:rPr>
            </w:pPr>
            <w:r>
              <w:rPr>
                <w:rFonts w:hint="eastAsia" w:ascii="楷体" w:hAnsi="楷体" w:eastAsia="楷体" w:cs="Arial"/>
                <w:bCs/>
                <w:sz w:val="24"/>
                <w:szCs w:val="24"/>
              </w:rPr>
              <w:t>Q8.1</w:t>
            </w:r>
          </w:p>
        </w:tc>
        <w:tc>
          <w:tcPr>
            <w:tcW w:w="10464" w:type="dxa"/>
          </w:tcPr>
          <w:p>
            <w:pPr>
              <w:spacing w:line="360" w:lineRule="auto"/>
              <w:ind w:firstLine="480" w:firstLineChars="200"/>
              <w:jc w:val="left"/>
              <w:rPr>
                <w:rFonts w:hint="eastAsia" w:ascii="楷体" w:hAnsi="楷体" w:eastAsia="楷体" w:cs="楷体"/>
                <w:sz w:val="24"/>
                <w:szCs w:val="24"/>
              </w:rPr>
            </w:pPr>
            <w:r>
              <w:rPr>
                <w:rFonts w:hint="eastAsia" w:ascii="楷体" w:hAnsi="楷体" w:eastAsia="楷体" w:cs="Arial"/>
                <w:bCs/>
                <w:sz w:val="24"/>
                <w:szCs w:val="24"/>
              </w:rPr>
              <w:t>公司主要从事</w:t>
            </w:r>
            <w:r>
              <w:rPr>
                <w:rFonts w:hint="eastAsia" w:ascii="楷体" w:hAnsi="楷体" w:eastAsia="楷体" w:cs="楷体"/>
                <w:sz w:val="24"/>
                <w:szCs w:val="24"/>
              </w:rPr>
              <w:t>塑料编织袋（食品包装用除外），塑料集装袋、塑料打包带</w:t>
            </w:r>
            <w:r>
              <w:rPr>
                <w:rFonts w:hint="eastAsia" w:ascii="楷体" w:hAnsi="楷体" w:eastAsia="楷体" w:cs="楷体"/>
                <w:bCs/>
                <w:sz w:val="24"/>
                <w:szCs w:val="24"/>
              </w:rPr>
              <w:t>的</w:t>
            </w:r>
            <w:r>
              <w:rPr>
                <w:rFonts w:hint="eastAsia" w:ascii="楷体" w:hAnsi="楷体" w:eastAsia="楷体" w:cs="Arial"/>
                <w:bCs/>
                <w:sz w:val="24"/>
                <w:szCs w:val="24"/>
              </w:rPr>
              <w:t>生产，生产工艺流程为：</w:t>
            </w:r>
            <w:r>
              <w:rPr>
                <w:rFonts w:hint="eastAsia" w:ascii="楷体" w:hAnsi="楷体" w:eastAsia="楷体" w:cs="楷体"/>
                <w:sz w:val="24"/>
                <w:szCs w:val="24"/>
              </w:rPr>
              <w:t>编织布原料（半成品）→检验、验收→缝纫→成品检验→折叠→打包→称重→出厂</w:t>
            </w:r>
          </w:p>
          <w:p>
            <w:pPr>
              <w:adjustRightInd w:val="0"/>
              <w:spacing w:line="360" w:lineRule="auto"/>
              <w:ind w:firstLine="480" w:firstLineChars="200"/>
              <w:jc w:val="left"/>
              <w:rPr>
                <w:rFonts w:ascii="楷体" w:hAnsi="楷体" w:eastAsia="楷体" w:cs="Arial"/>
                <w:bCs/>
                <w:sz w:val="24"/>
                <w:szCs w:val="24"/>
              </w:rPr>
            </w:pPr>
            <w:r>
              <w:rPr>
                <w:rFonts w:hint="eastAsia" w:ascii="楷体" w:hAnsi="楷体" w:eastAsia="楷体" w:cs="Arial"/>
                <w:bCs/>
                <w:sz w:val="24"/>
                <w:szCs w:val="24"/>
              </w:rPr>
              <w:t>明确了质量目标和相关的产品特性要求：产品一次交验合格率≥9</w:t>
            </w:r>
            <w:r>
              <w:rPr>
                <w:rFonts w:hint="eastAsia" w:ascii="楷体" w:hAnsi="楷体" w:eastAsia="楷体" w:cs="Arial"/>
                <w:bCs/>
                <w:sz w:val="24"/>
                <w:szCs w:val="24"/>
                <w:lang w:val="en-US" w:eastAsia="zh-CN"/>
              </w:rPr>
              <w:t>6</w:t>
            </w:r>
            <w:r>
              <w:rPr>
                <w:rFonts w:hint="eastAsia" w:ascii="楷体" w:hAnsi="楷体" w:eastAsia="楷体" w:cs="Arial"/>
                <w:bCs/>
                <w:sz w:val="24"/>
                <w:szCs w:val="24"/>
              </w:rPr>
              <w:t>%；</w:t>
            </w:r>
            <w:r>
              <w:rPr>
                <w:rFonts w:hint="eastAsia" w:ascii="楷体" w:hAnsi="楷体" w:eastAsia="楷体" w:cs="Arial"/>
                <w:bCs/>
                <w:sz w:val="24"/>
                <w:szCs w:val="24"/>
                <w:lang w:val="en-US" w:eastAsia="zh-CN"/>
              </w:rPr>
              <w:t>设备完好率95%以上，出厂产品合格率100%，顾客投诉处理及时率98%以上，无生成伤亡事故，无重大生产设备事故，无职业病发生，千人负伤率低于0.1%，三废排放达标率100%</w:t>
            </w:r>
            <w:r>
              <w:rPr>
                <w:rFonts w:hint="eastAsia" w:ascii="楷体" w:hAnsi="楷体" w:eastAsia="楷体" w:cs="Arial"/>
                <w:bCs/>
                <w:sz w:val="24"/>
                <w:szCs w:val="24"/>
              </w:rPr>
              <w:t>，根据客户技术要求进行生产和服务的提供。</w:t>
            </w:r>
          </w:p>
          <w:p>
            <w:pPr>
              <w:adjustRightInd w:val="0"/>
              <w:spacing w:line="360" w:lineRule="auto"/>
              <w:ind w:firstLine="480" w:firstLineChars="200"/>
              <w:jc w:val="left"/>
              <w:rPr>
                <w:rFonts w:ascii="楷体" w:hAnsi="楷体" w:eastAsia="楷体" w:cs="Arial"/>
                <w:bCs/>
                <w:sz w:val="24"/>
                <w:szCs w:val="24"/>
              </w:rPr>
            </w:pPr>
            <w:r>
              <w:rPr>
                <w:rFonts w:hint="eastAsia" w:ascii="楷体" w:hAnsi="楷体" w:eastAsia="楷体" w:cs="Arial"/>
                <w:bCs/>
                <w:sz w:val="24"/>
                <w:szCs w:val="24"/>
              </w:rPr>
              <w:t>公司生产、检验相关标准：企业参考的国家/行业主要是：</w:t>
            </w:r>
            <w:r>
              <w:rPr>
                <w:rFonts w:hint="eastAsia" w:ascii="楷体" w:hAnsi="楷体" w:eastAsia="楷体" w:cs="楷体"/>
                <w:color w:val="000000"/>
                <w:spacing w:val="-10"/>
                <w:sz w:val="24"/>
                <w:szCs w:val="24"/>
                <w:lang w:val="en-US" w:eastAsia="zh-CN"/>
              </w:rPr>
              <w:t>GBT8946-2013塑料编织袋通用技术要求、QBT3811-1999塑料打包带</w:t>
            </w:r>
            <w:r>
              <w:rPr>
                <w:rFonts w:hint="eastAsia" w:ascii="楷体" w:hAnsi="楷体" w:eastAsia="楷体" w:cs="楷体"/>
                <w:bCs/>
                <w:sz w:val="24"/>
                <w:szCs w:val="24"/>
              </w:rPr>
              <w:t>、</w:t>
            </w:r>
            <w:r>
              <w:rPr>
                <w:rFonts w:hint="eastAsia" w:ascii="楷体" w:hAnsi="楷体" w:eastAsia="楷体" w:cs="Arial"/>
                <w:bCs/>
                <w:sz w:val="24"/>
                <w:szCs w:val="24"/>
              </w:rPr>
              <w:t>客户的技术参数要求，编制了《生产作业指导书》、《产品检验作业指导书》等指导产品生产和确定产品的接收；</w:t>
            </w:r>
          </w:p>
          <w:p>
            <w:pPr>
              <w:spacing w:line="360" w:lineRule="auto"/>
              <w:ind w:firstLine="480" w:firstLineChars="200"/>
              <w:rPr>
                <w:rFonts w:ascii="楷体" w:hAnsi="楷体" w:eastAsia="楷体" w:cs="Arial"/>
                <w:bCs/>
                <w:sz w:val="24"/>
                <w:szCs w:val="24"/>
              </w:rPr>
            </w:pPr>
            <w:r>
              <w:rPr>
                <w:rFonts w:hint="eastAsia" w:ascii="楷体" w:hAnsi="楷体" w:eastAsia="楷体" w:cs="Arial"/>
                <w:bCs/>
                <w:sz w:val="24"/>
                <w:szCs w:val="24"/>
              </w:rPr>
              <w:t>生产设备：</w:t>
            </w:r>
            <w:r>
              <w:rPr>
                <w:rFonts w:hint="eastAsia" w:ascii="楷体" w:hAnsi="楷体" w:eastAsia="楷体" w:cs="楷体"/>
                <w:color w:val="auto"/>
                <w:sz w:val="24"/>
                <w:szCs w:val="24"/>
                <w:lang w:val="en-US" w:eastAsia="zh-CN"/>
              </w:rPr>
              <w:t>缝纫机、包装带生产线</w:t>
            </w:r>
            <w:r>
              <w:rPr>
                <w:rFonts w:hint="eastAsia" w:ascii="楷体" w:hAnsi="楷体" w:eastAsia="楷体"/>
                <w:sz w:val="24"/>
                <w:szCs w:val="24"/>
              </w:rPr>
              <w:t>等</w:t>
            </w:r>
            <w:r>
              <w:rPr>
                <w:rFonts w:hint="eastAsia" w:ascii="楷体" w:hAnsi="楷体" w:eastAsia="楷体" w:cs="Arial"/>
                <w:bCs/>
                <w:sz w:val="24"/>
                <w:szCs w:val="24"/>
              </w:rPr>
              <w:t>。</w:t>
            </w:r>
          </w:p>
          <w:p>
            <w:pPr>
              <w:spacing w:line="360" w:lineRule="auto"/>
              <w:ind w:firstLine="480" w:firstLineChars="200"/>
              <w:rPr>
                <w:rFonts w:ascii="楷体" w:hAnsi="楷体" w:eastAsia="楷体" w:cs="Arial"/>
                <w:bCs/>
                <w:sz w:val="24"/>
                <w:szCs w:val="24"/>
              </w:rPr>
            </w:pPr>
            <w:r>
              <w:rPr>
                <w:rFonts w:hint="eastAsia" w:ascii="楷体" w:hAnsi="楷体" w:eastAsia="楷体" w:cs="Arial"/>
                <w:bCs/>
                <w:sz w:val="24"/>
                <w:szCs w:val="24"/>
              </w:rPr>
              <w:t>监测设备：</w:t>
            </w:r>
            <w:r>
              <w:rPr>
                <w:rFonts w:hint="eastAsia" w:ascii="楷体" w:hAnsi="楷体" w:eastAsia="楷体" w:cs="楷体"/>
                <w:color w:val="000000"/>
                <w:sz w:val="24"/>
                <w:szCs w:val="24"/>
                <w:lang w:val="en-US" w:eastAsia="zh-CN"/>
              </w:rPr>
              <w:t>电子万能实验机、游标卡尺、钢直尺、钢卷尺、电子台秤</w:t>
            </w:r>
            <w:r>
              <w:rPr>
                <w:rFonts w:hint="eastAsia" w:ascii="楷体" w:hAnsi="楷体" w:eastAsia="楷体"/>
                <w:sz w:val="24"/>
                <w:szCs w:val="24"/>
              </w:rPr>
              <w:t>等</w:t>
            </w:r>
            <w:r>
              <w:rPr>
                <w:rFonts w:hint="eastAsia" w:ascii="楷体" w:hAnsi="楷体" w:eastAsia="楷体" w:cs="Arial"/>
                <w:bCs/>
                <w:sz w:val="24"/>
                <w:szCs w:val="24"/>
              </w:rPr>
              <w:t>设备与监测设备基本满足公司产品和服务的需求。</w:t>
            </w:r>
          </w:p>
          <w:p>
            <w:pPr>
              <w:spacing w:line="360" w:lineRule="auto"/>
              <w:ind w:firstLine="480" w:firstLineChars="200"/>
              <w:rPr>
                <w:rFonts w:ascii="楷体" w:hAnsi="楷体" w:eastAsia="楷体" w:cs="Arial"/>
                <w:bCs/>
                <w:sz w:val="24"/>
                <w:szCs w:val="24"/>
              </w:rPr>
            </w:pPr>
            <w:r>
              <w:rPr>
                <w:rFonts w:hint="eastAsia" w:ascii="楷体" w:hAnsi="楷体" w:eastAsia="楷体" w:cs="Arial"/>
                <w:bCs/>
                <w:sz w:val="24"/>
                <w:szCs w:val="24"/>
              </w:rPr>
              <w:t>公司按照制定的《作业指导书》、《检验作业指导书》、《原料检验作业指导书》等文件对产品的生产和检验过程实施了过程控制。</w:t>
            </w:r>
          </w:p>
          <w:p>
            <w:pPr>
              <w:spacing w:line="360" w:lineRule="auto"/>
              <w:ind w:firstLine="480" w:firstLineChars="200"/>
              <w:rPr>
                <w:rFonts w:ascii="楷体" w:hAnsi="楷体" w:eastAsia="楷体" w:cs="Arial"/>
                <w:bCs/>
                <w:sz w:val="24"/>
                <w:szCs w:val="24"/>
              </w:rPr>
            </w:pPr>
            <w:r>
              <w:rPr>
                <w:rFonts w:hint="eastAsia" w:ascii="楷体" w:hAnsi="楷体" w:eastAsia="楷体" w:cs="Arial"/>
                <w:bCs/>
                <w:sz w:val="24"/>
                <w:szCs w:val="24"/>
              </w:rPr>
              <w:t>公司生产和服务相关记录主要有：生产任务通知单、原材料检验入库通知单、生产工艺记录表、检验记录表、出厂检验原始记录、出厂检测报告等。</w:t>
            </w:r>
          </w:p>
          <w:p>
            <w:pPr>
              <w:spacing w:line="360" w:lineRule="auto"/>
              <w:ind w:firstLine="480" w:firstLineChars="200"/>
              <w:rPr>
                <w:rFonts w:ascii="楷体" w:hAnsi="楷体" w:eastAsia="楷体" w:cs="Arial"/>
                <w:bCs/>
                <w:sz w:val="24"/>
                <w:szCs w:val="24"/>
              </w:rPr>
            </w:pPr>
            <w:r>
              <w:rPr>
                <w:rFonts w:hint="eastAsia" w:ascii="楷体" w:hAnsi="楷体" w:eastAsia="楷体" w:cs="Arial"/>
                <w:bCs/>
                <w:sz w:val="24"/>
                <w:szCs w:val="24"/>
              </w:rPr>
              <w:t>制定的管理手册和程序文件中规定了发生变更时采取的控制过程和措施，目前无变更需求。</w:t>
            </w:r>
          </w:p>
          <w:p>
            <w:pPr>
              <w:spacing w:line="360" w:lineRule="auto"/>
              <w:ind w:firstLine="480" w:firstLineChars="200"/>
              <w:rPr>
                <w:rFonts w:ascii="楷体" w:hAnsi="楷体" w:eastAsia="楷体" w:cs="宋体"/>
                <w:sz w:val="24"/>
                <w:szCs w:val="24"/>
              </w:rPr>
            </w:pPr>
            <w:r>
              <w:rPr>
                <w:rFonts w:hint="eastAsia" w:ascii="楷体" w:hAnsi="楷体" w:eastAsia="楷体" w:cs="Arial"/>
                <w:bCs/>
                <w:sz w:val="24"/>
                <w:szCs w:val="24"/>
              </w:rPr>
              <w:t>经识别，无外包过程。</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384" w:type="dxa"/>
            <w:vAlign w:val="center"/>
          </w:tcPr>
          <w:p>
            <w:pPr>
              <w:spacing w:line="360" w:lineRule="auto"/>
              <w:rPr>
                <w:rFonts w:ascii="楷体" w:hAnsi="楷体" w:eastAsia="楷体"/>
                <w:b/>
                <w:sz w:val="24"/>
                <w:szCs w:val="24"/>
              </w:rPr>
            </w:pPr>
            <w:r>
              <w:rPr>
                <w:rFonts w:hint="eastAsia" w:ascii="楷体" w:hAnsi="楷体" w:eastAsia="楷体"/>
                <w:spacing w:val="-10"/>
                <w:sz w:val="24"/>
                <w:szCs w:val="24"/>
              </w:rPr>
              <w:t>产品和服务的设计和开发</w:t>
            </w:r>
          </w:p>
        </w:tc>
        <w:tc>
          <w:tcPr>
            <w:tcW w:w="1276" w:type="dxa"/>
          </w:tcPr>
          <w:p>
            <w:pPr>
              <w:snapToGrid w:val="0"/>
              <w:spacing w:line="360" w:lineRule="auto"/>
              <w:rPr>
                <w:rFonts w:ascii="楷体" w:hAnsi="楷体" w:eastAsia="楷体" w:cs="宋体"/>
                <w:sz w:val="24"/>
                <w:szCs w:val="24"/>
              </w:rPr>
            </w:pPr>
            <w:r>
              <w:rPr>
                <w:rFonts w:hint="eastAsia" w:ascii="楷体" w:hAnsi="楷体" w:eastAsia="楷体" w:cs="Arial"/>
                <w:bCs/>
                <w:sz w:val="24"/>
                <w:szCs w:val="24"/>
              </w:rPr>
              <w:t>Q8.3</w:t>
            </w:r>
          </w:p>
        </w:tc>
        <w:tc>
          <w:tcPr>
            <w:tcW w:w="10464" w:type="dxa"/>
          </w:tcPr>
          <w:p>
            <w:pPr>
              <w:tabs>
                <w:tab w:val="left" w:pos="9720"/>
                <w:tab w:val="left" w:pos="9900"/>
              </w:tabs>
              <w:spacing w:line="360" w:lineRule="auto"/>
              <w:ind w:firstLine="480" w:firstLineChars="200"/>
              <w:rPr>
                <w:rFonts w:ascii="楷体" w:hAnsi="楷体" w:eastAsia="楷体" w:cs="Arial"/>
                <w:bCs/>
                <w:sz w:val="24"/>
                <w:szCs w:val="24"/>
              </w:rPr>
            </w:pPr>
            <w:r>
              <w:rPr>
                <w:rFonts w:hint="eastAsia" w:ascii="楷体" w:hAnsi="楷体" w:eastAsia="楷体"/>
                <w:sz w:val="24"/>
                <w:szCs w:val="24"/>
              </w:rPr>
              <w:t>组织按照国标/行标和顾客要求进行</w:t>
            </w:r>
            <w:r>
              <w:rPr>
                <w:rFonts w:hint="eastAsia" w:ascii="楷体" w:hAnsi="楷体" w:eastAsia="楷体" w:cs="楷体"/>
                <w:sz w:val="24"/>
                <w:szCs w:val="24"/>
              </w:rPr>
              <w:t>塑料编织袋（食品包装用除外），塑料集装袋、塑料打包带</w:t>
            </w:r>
            <w:r>
              <w:rPr>
                <w:rFonts w:hint="eastAsia" w:ascii="楷体" w:hAnsi="楷体" w:eastAsia="楷体" w:cs="Arial"/>
                <w:bCs/>
                <w:sz w:val="24"/>
                <w:szCs w:val="24"/>
              </w:rPr>
              <w:t>的生产</w:t>
            </w:r>
            <w:r>
              <w:rPr>
                <w:rFonts w:hint="eastAsia" w:ascii="楷体" w:hAnsi="楷体" w:eastAsia="楷体"/>
                <w:sz w:val="24"/>
                <w:szCs w:val="24"/>
              </w:rPr>
              <w:t>，不需进行产品的设计和开发，因此对标准的8.3条款不适用，且不影响组织提供满足顾客要求和适用法律法规要求的产品的能力或责任，不适用合理。</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384" w:type="dxa"/>
          </w:tcPr>
          <w:p>
            <w:pPr>
              <w:spacing w:line="360" w:lineRule="auto"/>
              <w:rPr>
                <w:rFonts w:ascii="楷体" w:hAnsi="楷体" w:eastAsia="楷体"/>
                <w:b/>
                <w:sz w:val="24"/>
                <w:szCs w:val="24"/>
              </w:rPr>
            </w:pPr>
            <w:r>
              <w:rPr>
                <w:rFonts w:hint="eastAsia" w:ascii="楷体" w:hAnsi="楷体" w:eastAsia="楷体"/>
                <w:bCs/>
                <w:sz w:val="24"/>
                <w:szCs w:val="24"/>
              </w:rPr>
              <w:t>生产和服务提供的控制</w:t>
            </w:r>
          </w:p>
        </w:tc>
        <w:tc>
          <w:tcPr>
            <w:tcW w:w="1276" w:type="dxa"/>
          </w:tcPr>
          <w:p>
            <w:pPr>
              <w:spacing w:line="360" w:lineRule="auto"/>
              <w:rPr>
                <w:rFonts w:ascii="楷体" w:hAnsi="楷体" w:eastAsia="楷体" w:cs="宋体"/>
                <w:bCs/>
                <w:sz w:val="24"/>
                <w:szCs w:val="24"/>
              </w:rPr>
            </w:pPr>
            <w:r>
              <w:rPr>
                <w:rFonts w:hint="eastAsia" w:ascii="楷体" w:hAnsi="楷体" w:eastAsia="楷体" w:cs="宋体"/>
                <w:bCs/>
                <w:sz w:val="24"/>
                <w:szCs w:val="24"/>
              </w:rPr>
              <w:t>Q8.5.1</w:t>
            </w:r>
          </w:p>
        </w:tc>
        <w:tc>
          <w:tcPr>
            <w:tcW w:w="10464" w:type="dxa"/>
          </w:tcPr>
          <w:p>
            <w:pPr>
              <w:spacing w:line="360" w:lineRule="auto"/>
              <w:ind w:firstLine="480" w:firstLineChars="200"/>
              <w:rPr>
                <w:rFonts w:ascii="楷体" w:hAnsi="楷体" w:eastAsia="楷体" w:cs="Arial"/>
                <w:bCs/>
                <w:sz w:val="24"/>
                <w:szCs w:val="24"/>
              </w:rPr>
            </w:pPr>
            <w:r>
              <w:rPr>
                <w:rFonts w:hint="eastAsia" w:ascii="楷体" w:hAnsi="楷体" w:eastAsia="楷体" w:cs="Arial"/>
                <w:bCs/>
                <w:sz w:val="24"/>
                <w:szCs w:val="24"/>
              </w:rPr>
              <w:t>公司主要从事</w:t>
            </w:r>
            <w:r>
              <w:rPr>
                <w:rFonts w:hint="eastAsia" w:ascii="楷体" w:hAnsi="楷体" w:eastAsia="楷体" w:cs="楷体"/>
                <w:sz w:val="24"/>
                <w:szCs w:val="24"/>
              </w:rPr>
              <w:t>塑料编织袋（食品包装用除外），塑料集装袋、塑料打包带</w:t>
            </w:r>
            <w:r>
              <w:rPr>
                <w:rFonts w:hint="eastAsia" w:ascii="楷体" w:hAnsi="楷体" w:eastAsia="楷体" w:cs="Arial"/>
                <w:bCs/>
                <w:sz w:val="24"/>
                <w:szCs w:val="24"/>
              </w:rPr>
              <w:t>的生产。</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公司依据客户订单，下达生产</w:t>
            </w:r>
            <w:r>
              <w:rPr>
                <w:rFonts w:hint="eastAsia" w:ascii="楷体" w:hAnsi="楷体" w:eastAsia="楷体" w:cs="宋体"/>
                <w:sz w:val="24"/>
                <w:szCs w:val="24"/>
                <w:lang w:val="en-US" w:eastAsia="zh-CN"/>
              </w:rPr>
              <w:t>计划</w:t>
            </w:r>
            <w:r>
              <w:rPr>
                <w:rFonts w:hint="eastAsia" w:ascii="楷体" w:hAnsi="楷体" w:eastAsia="楷体" w:cs="宋体"/>
                <w:sz w:val="24"/>
                <w:szCs w:val="24"/>
              </w:rPr>
              <w:t>单。</w:t>
            </w:r>
          </w:p>
          <w:p>
            <w:pPr>
              <w:spacing w:line="360" w:lineRule="auto"/>
              <w:ind w:firstLine="480" w:firstLineChars="200"/>
              <w:rPr>
                <w:rFonts w:ascii="楷体" w:hAnsi="楷体" w:eastAsia="楷体" w:cs="宋体"/>
                <w:sz w:val="24"/>
                <w:szCs w:val="24"/>
              </w:rPr>
            </w:pPr>
            <w:r>
              <w:rPr>
                <w:rFonts w:hint="eastAsia" w:ascii="楷体" w:hAnsi="楷体" w:eastAsia="楷体" w:cs="楷体"/>
                <w:b w:val="0"/>
                <w:bCs w:val="0"/>
                <w:sz w:val="24"/>
                <w:szCs w:val="24"/>
                <w:lang w:val="en-US" w:eastAsia="zh-CN"/>
              </w:rPr>
              <w:t>化纤包装厂</w:t>
            </w:r>
            <w:r>
              <w:rPr>
                <w:rFonts w:hint="eastAsia" w:ascii="楷体" w:hAnsi="楷体" w:eastAsia="楷体" w:cs="宋体"/>
                <w:sz w:val="24"/>
                <w:szCs w:val="24"/>
              </w:rPr>
              <w:t>接到定单后召开生产会议，进行生产、质量及管理工作协调。通过原材料检验、过程检验、成品检验等过程对产品质量、生产进度等进行监控。</w:t>
            </w:r>
          </w:p>
          <w:p>
            <w:pPr>
              <w:spacing w:line="360" w:lineRule="auto"/>
              <w:ind w:firstLine="480" w:firstLineChars="200"/>
              <w:rPr>
                <w:rFonts w:hint="default" w:ascii="楷体" w:hAnsi="楷体" w:eastAsia="楷体" w:cs="楷体"/>
                <w:b w:val="0"/>
                <w:bCs w:val="0"/>
                <w:sz w:val="24"/>
                <w:szCs w:val="24"/>
                <w:lang w:val="en-US" w:eastAsia="zh-CN"/>
              </w:rPr>
            </w:pPr>
            <w:r>
              <w:rPr>
                <w:rFonts w:hint="eastAsia" w:ascii="楷体" w:hAnsi="楷体" w:eastAsia="楷体" w:cs="宋体"/>
                <w:sz w:val="24"/>
                <w:szCs w:val="24"/>
              </w:rPr>
              <w:t>抽查生产任务通知单，20</w:t>
            </w:r>
            <w:r>
              <w:rPr>
                <w:rFonts w:hint="eastAsia" w:ascii="楷体" w:hAnsi="楷体" w:eastAsia="楷体" w:cs="宋体"/>
                <w:sz w:val="24"/>
                <w:szCs w:val="24"/>
                <w:lang w:val="en-US" w:eastAsia="zh-CN"/>
              </w:rPr>
              <w:t>20</w:t>
            </w:r>
            <w:r>
              <w:rPr>
                <w:rFonts w:hint="eastAsia" w:ascii="楷体" w:hAnsi="楷体" w:eastAsia="楷体" w:cs="宋体"/>
                <w:sz w:val="24"/>
                <w:szCs w:val="24"/>
              </w:rPr>
              <w:t>.</w:t>
            </w:r>
            <w:r>
              <w:rPr>
                <w:rFonts w:hint="eastAsia" w:ascii="楷体" w:hAnsi="楷体" w:eastAsia="楷体" w:cs="宋体"/>
                <w:sz w:val="24"/>
                <w:szCs w:val="24"/>
                <w:lang w:val="en-US" w:eastAsia="zh-CN"/>
              </w:rPr>
              <w:t>12月</w:t>
            </w:r>
            <w:r>
              <w:rPr>
                <w:rFonts w:hint="eastAsia" w:ascii="楷体" w:hAnsi="楷体" w:eastAsia="楷体" w:cs="宋体"/>
                <w:sz w:val="24"/>
                <w:szCs w:val="24"/>
              </w:rPr>
              <w:t>日</w:t>
            </w:r>
            <w:r>
              <w:rPr>
                <w:rFonts w:hint="eastAsia" w:ascii="楷体" w:hAnsi="楷体" w:eastAsia="楷体" w:cs="楷体"/>
                <w:b w:val="0"/>
                <w:bCs w:val="0"/>
                <w:sz w:val="24"/>
                <w:szCs w:val="24"/>
                <w:lang w:val="en-US" w:eastAsia="zh-CN"/>
              </w:rPr>
              <w:t>化纤包装厂生产计划，短纤包装袋1180*780*1200 6950条，丝束包装带1350*970*970 720条，要在12月25日前完成。</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为生产过程提供了适宜的设备及环境。</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配备了胜任的人员，如：</w:t>
            </w:r>
            <w:r>
              <w:rPr>
                <w:rFonts w:hint="eastAsia" w:ascii="楷体" w:hAnsi="楷体" w:eastAsia="楷体" w:cs="楷体"/>
                <w:b w:val="0"/>
                <w:bCs w:val="0"/>
                <w:sz w:val="24"/>
                <w:szCs w:val="24"/>
                <w:lang w:val="en-US" w:eastAsia="zh-CN"/>
              </w:rPr>
              <w:t>化纤包装厂</w:t>
            </w:r>
            <w:r>
              <w:rPr>
                <w:rFonts w:hint="eastAsia" w:ascii="楷体" w:hAnsi="楷体" w:eastAsia="楷体" w:cs="宋体"/>
                <w:sz w:val="24"/>
                <w:szCs w:val="24"/>
                <w:lang w:val="en-US" w:eastAsia="zh-CN"/>
              </w:rPr>
              <w:t>史淑梅</w:t>
            </w:r>
            <w:r>
              <w:rPr>
                <w:rFonts w:hint="eastAsia" w:ascii="楷体" w:hAnsi="楷体" w:eastAsia="楷体" w:cs="宋体"/>
                <w:sz w:val="24"/>
                <w:szCs w:val="24"/>
              </w:rPr>
              <w:t>，有较丰富的管理经验和专业技术水平。</w:t>
            </w:r>
          </w:p>
          <w:p>
            <w:pPr>
              <w:spacing w:line="360" w:lineRule="auto"/>
              <w:ind w:firstLine="480" w:firstLineChars="200"/>
              <w:rPr>
                <w:rFonts w:ascii="楷体" w:hAnsi="楷体" w:eastAsia="楷体" w:cs="宋体"/>
                <w:sz w:val="24"/>
                <w:szCs w:val="24"/>
              </w:rPr>
            </w:pPr>
            <w:r>
              <w:rPr>
                <w:rFonts w:hint="eastAsia" w:ascii="楷体" w:hAnsi="楷体" w:eastAsia="楷体" w:cs="楷体"/>
                <w:b w:val="0"/>
                <w:bCs w:val="0"/>
                <w:sz w:val="24"/>
                <w:szCs w:val="24"/>
                <w:lang w:val="en-US" w:eastAsia="zh-CN"/>
              </w:rPr>
              <w:t>化纤包装厂</w:t>
            </w:r>
            <w:r>
              <w:rPr>
                <w:rFonts w:hint="eastAsia" w:ascii="楷体" w:hAnsi="楷体" w:eastAsia="楷体" w:cs="宋体"/>
                <w:sz w:val="24"/>
                <w:szCs w:val="24"/>
                <w:lang w:val="en-US" w:eastAsia="zh-CN"/>
              </w:rPr>
              <w:t>史淑梅</w:t>
            </w:r>
            <w:r>
              <w:rPr>
                <w:rFonts w:hint="eastAsia" w:ascii="楷体" w:hAnsi="楷体" w:eastAsia="楷体" w:cs="宋体"/>
                <w:sz w:val="24"/>
                <w:szCs w:val="24"/>
              </w:rPr>
              <w:t>介绍说生产过程中采取措施防止人为错误；如：通过配备专业技术人员和加强技术人员的培训不断提高生产水平来防止人为失误等。</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lang w:val="en-US" w:eastAsia="zh-CN"/>
              </w:rPr>
              <w:t>史淑梅</w:t>
            </w:r>
            <w:r>
              <w:rPr>
                <w:rFonts w:hint="eastAsia" w:ascii="楷体" w:hAnsi="楷体" w:eastAsia="楷体" w:cs="宋体"/>
                <w:sz w:val="24"/>
                <w:szCs w:val="24"/>
              </w:rPr>
              <w:t>介绍说，产品交付后如客户在使用过程中出现问题，先通过电话进行解决，如远程无法解决，派专人到客户现场实地解决。</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现场审核，抽查关键工序控制情况：</w:t>
            </w:r>
          </w:p>
          <w:p>
            <w:pPr>
              <w:spacing w:line="360" w:lineRule="auto"/>
              <w:ind w:firstLine="480" w:firstLineChars="200"/>
              <w:rPr>
                <w:rFonts w:ascii="楷体" w:hAnsi="楷体" w:eastAsia="楷体"/>
                <w:sz w:val="24"/>
                <w:szCs w:val="24"/>
              </w:rPr>
            </w:pPr>
            <w:r>
              <w:rPr>
                <w:rFonts w:hint="eastAsia" w:ascii="楷体" w:hAnsi="楷体" w:eastAsia="楷体"/>
                <w:sz w:val="24"/>
                <w:szCs w:val="24"/>
                <w:lang w:val="en-US" w:eastAsia="zh-CN"/>
              </w:rPr>
              <w:t>原辅材料检验</w:t>
            </w:r>
            <w:r>
              <w:rPr>
                <w:rFonts w:hint="eastAsia" w:ascii="楷体" w:hAnsi="楷体" w:eastAsia="楷体"/>
                <w:sz w:val="24"/>
                <w:szCs w:val="24"/>
              </w:rPr>
              <w:t>工序：</w:t>
            </w:r>
            <w:r>
              <w:rPr>
                <w:rFonts w:hint="eastAsia" w:ascii="楷体" w:hAnsi="楷体" w:eastAsia="楷体"/>
                <w:sz w:val="24"/>
                <w:szCs w:val="24"/>
                <w:lang w:val="en-US" w:eastAsia="zh-CN"/>
              </w:rPr>
              <w:t>对采购的面料进行检验，面料长度检测允许误差</w:t>
            </w:r>
            <w:r>
              <w:rPr>
                <w:rFonts w:hint="eastAsia" w:ascii="宋体" w:hAnsi="宋体" w:eastAsia="宋体" w:cs="宋体"/>
                <w:sz w:val="24"/>
                <w:szCs w:val="24"/>
                <w:lang w:val="en-US" w:eastAsia="zh-CN"/>
              </w:rPr>
              <w:t>±</w:t>
            </w:r>
            <w:r>
              <w:rPr>
                <w:rFonts w:hint="eastAsia" w:ascii="楷体" w:hAnsi="楷体" w:eastAsia="楷体"/>
                <w:sz w:val="24"/>
                <w:szCs w:val="24"/>
                <w:lang w:val="en-US" w:eastAsia="zh-CN"/>
              </w:rPr>
              <w:t>0.1%，宽度检测允许误差</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0.5cm，</w:t>
            </w:r>
            <w:r>
              <w:rPr>
                <w:rFonts w:hint="eastAsia" w:ascii="楷体" w:hAnsi="楷体" w:eastAsia="楷体" w:cs="楷体"/>
                <w:sz w:val="24"/>
                <w:szCs w:val="24"/>
                <w:lang w:val="en-US" w:eastAsia="zh-CN"/>
              </w:rPr>
              <w:t>外表光滑厚薄均匀，</w:t>
            </w:r>
            <w:r>
              <w:rPr>
                <w:rFonts w:hint="eastAsia" w:ascii="楷体" w:hAnsi="楷体" w:eastAsia="楷体"/>
                <w:sz w:val="24"/>
                <w:szCs w:val="24"/>
              </w:rPr>
              <w:t>实际操作符合要求。</w:t>
            </w:r>
          </w:p>
          <w:p>
            <w:pPr>
              <w:spacing w:line="360" w:lineRule="auto"/>
              <w:ind w:firstLine="480" w:firstLineChars="200"/>
              <w:rPr>
                <w:rFonts w:ascii="楷体" w:hAnsi="楷体" w:eastAsia="楷体"/>
                <w:sz w:val="24"/>
                <w:szCs w:val="24"/>
              </w:rPr>
            </w:pPr>
            <w:r>
              <w:rPr>
                <w:rFonts w:hint="eastAsia" w:ascii="楷体" w:hAnsi="楷体" w:eastAsia="楷体"/>
                <w:sz w:val="24"/>
                <w:szCs w:val="24"/>
                <w:lang w:val="en-US" w:eastAsia="zh-CN"/>
              </w:rPr>
              <w:t>裁剪</w:t>
            </w:r>
            <w:r>
              <w:rPr>
                <w:rFonts w:hint="eastAsia" w:ascii="楷体" w:hAnsi="楷体" w:eastAsia="楷体"/>
                <w:sz w:val="24"/>
                <w:szCs w:val="24"/>
              </w:rPr>
              <w:t>工序：</w:t>
            </w:r>
            <w:r>
              <w:rPr>
                <w:rFonts w:hint="eastAsia" w:ascii="楷体" w:hAnsi="楷体" w:eastAsia="楷体"/>
                <w:sz w:val="24"/>
                <w:szCs w:val="24"/>
                <w:lang w:val="en-US" w:eastAsia="zh-CN"/>
              </w:rPr>
              <w:t>裁剪前要对设备的转动部分、电气部分、防护装置进行全面检查，确保设备在使用时状态良好，</w:t>
            </w:r>
            <w:r>
              <w:rPr>
                <w:rFonts w:hint="eastAsia" w:ascii="楷体" w:hAnsi="楷体" w:eastAsia="楷体"/>
                <w:sz w:val="24"/>
                <w:szCs w:val="24"/>
              </w:rPr>
              <w:t>有</w:t>
            </w:r>
            <w:r>
              <w:rPr>
                <w:rFonts w:hint="eastAsia" w:ascii="楷体" w:hAnsi="楷体" w:eastAsia="楷体"/>
                <w:sz w:val="24"/>
                <w:szCs w:val="24"/>
                <w:lang w:val="en-US" w:eastAsia="zh-CN"/>
              </w:rPr>
              <w:t>岗位操作规程</w:t>
            </w:r>
            <w:r>
              <w:rPr>
                <w:rFonts w:hint="eastAsia" w:ascii="楷体" w:hAnsi="楷体" w:eastAsia="楷体"/>
                <w:sz w:val="24"/>
                <w:szCs w:val="24"/>
              </w:rPr>
              <w:t>，实际操作符合要求。</w:t>
            </w:r>
          </w:p>
          <w:p>
            <w:pPr>
              <w:spacing w:line="360" w:lineRule="auto"/>
              <w:ind w:firstLine="480" w:firstLineChars="200"/>
              <w:rPr>
                <w:rFonts w:hint="eastAsia" w:ascii="楷体" w:hAnsi="楷体" w:eastAsia="楷体"/>
                <w:sz w:val="24"/>
                <w:szCs w:val="24"/>
              </w:rPr>
            </w:pPr>
            <w:r>
              <w:rPr>
                <w:rFonts w:hint="eastAsia" w:ascii="楷体" w:hAnsi="楷体" w:eastAsia="楷体"/>
                <w:sz w:val="24"/>
                <w:szCs w:val="24"/>
                <w:lang w:val="en-US" w:eastAsia="zh-CN"/>
              </w:rPr>
              <w:t>缝纫</w:t>
            </w:r>
            <w:r>
              <w:rPr>
                <w:rFonts w:hint="eastAsia" w:ascii="楷体" w:hAnsi="楷体" w:eastAsia="楷体"/>
                <w:sz w:val="24"/>
                <w:szCs w:val="24"/>
              </w:rPr>
              <w:t>工序：</w:t>
            </w:r>
            <w:r>
              <w:rPr>
                <w:rFonts w:hint="eastAsia" w:ascii="楷体" w:hAnsi="楷体" w:eastAsia="楷体"/>
                <w:sz w:val="24"/>
                <w:szCs w:val="24"/>
                <w:lang w:val="en-US" w:eastAsia="zh-CN"/>
              </w:rPr>
              <w:t>进出料口的缝制：针距9-10cm，卷边50mm，起针和落针处回针不少于3针，距筒口150cm处按扎口绳（带）；进出料口与底盖的缝合：进料口沿盖圆周缝一道交叉100mm，有特殊要求的须缝二道线，出料口沿底圆周缝二道交叉100mm；缝袋体：要求单层袋体针距10-11针/100mm，双层以上袋体针距9-10针/100mm,缝线为4*3绦纶或丙纶线，缝边要求折二道边，缝三道线；缝底要求：方形袋卷二道边，缝二道线，对折缝二道线，圆形袋缝三道线；缝盖：方形袋卷二道边，或对折缝一道线，圆形袋缝二道线。</w:t>
            </w:r>
            <w:r>
              <w:rPr>
                <w:rFonts w:hint="eastAsia" w:ascii="楷体" w:hAnsi="楷体" w:eastAsia="楷体"/>
                <w:sz w:val="24"/>
                <w:szCs w:val="24"/>
              </w:rPr>
              <w:t>实际操作符合要求。</w:t>
            </w:r>
          </w:p>
          <w:p>
            <w:pPr>
              <w:spacing w:line="360" w:lineRule="auto"/>
              <w:ind w:firstLine="480" w:firstLineChars="200"/>
              <w:rPr>
                <w:rFonts w:hint="default" w:ascii="楷体" w:hAnsi="楷体" w:eastAsia="楷体"/>
                <w:sz w:val="24"/>
                <w:szCs w:val="24"/>
                <w:lang w:val="en-US" w:eastAsia="zh-CN"/>
              </w:rPr>
            </w:pPr>
            <w:r>
              <w:rPr>
                <w:rFonts w:hint="eastAsia" w:ascii="楷体" w:hAnsi="楷体" w:eastAsia="楷体" w:cs="楷体"/>
                <w:sz w:val="24"/>
                <w:szCs w:val="24"/>
              </w:rPr>
              <w:t>折叠</w:t>
            </w:r>
            <w:r>
              <w:rPr>
                <w:rFonts w:hint="eastAsia" w:ascii="楷体" w:hAnsi="楷体" w:eastAsia="楷体" w:cs="楷体"/>
                <w:sz w:val="24"/>
                <w:szCs w:val="24"/>
                <w:lang w:eastAsia="zh-CN"/>
              </w:rPr>
              <w:t>、</w:t>
            </w:r>
            <w:r>
              <w:rPr>
                <w:rFonts w:hint="eastAsia" w:ascii="楷体" w:hAnsi="楷体" w:eastAsia="楷体" w:cs="楷体"/>
                <w:sz w:val="24"/>
                <w:szCs w:val="24"/>
              </w:rPr>
              <w:t>打包</w:t>
            </w:r>
            <w:r>
              <w:rPr>
                <w:rFonts w:hint="eastAsia" w:ascii="楷体" w:hAnsi="楷体" w:eastAsia="楷体" w:cs="楷体"/>
                <w:sz w:val="24"/>
                <w:szCs w:val="24"/>
                <w:lang w:val="en-US" w:eastAsia="zh-CN"/>
              </w:rPr>
              <w:t>工序：将缝制好的且经检验合格的产品按顾客要求的数量进行折叠，要求摆放整齐，方向一致；包皮要求通过压力机受压后能全部缝绞，包装和短途运输的一般采用三道塑带捆扎。实际操作符合要求。</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观察实际操作，符合操作规程。</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384" w:type="dxa"/>
            <w:vAlign w:val="center"/>
          </w:tcPr>
          <w:p>
            <w:pPr>
              <w:spacing w:line="360" w:lineRule="auto"/>
              <w:jc w:val="center"/>
              <w:rPr>
                <w:rFonts w:ascii="楷体" w:hAnsi="楷体" w:eastAsia="楷体"/>
                <w:sz w:val="24"/>
                <w:szCs w:val="24"/>
              </w:rPr>
            </w:pPr>
            <w:r>
              <w:rPr>
                <w:rFonts w:hint="eastAsia" w:ascii="楷体" w:hAnsi="楷体" w:eastAsia="楷体"/>
                <w:sz w:val="24"/>
                <w:szCs w:val="24"/>
              </w:rPr>
              <w:t>标识和可追溯/产品防护</w:t>
            </w:r>
          </w:p>
        </w:tc>
        <w:tc>
          <w:tcPr>
            <w:tcW w:w="1276" w:type="dxa"/>
            <w:vAlign w:val="center"/>
          </w:tcPr>
          <w:p>
            <w:pPr>
              <w:spacing w:line="360" w:lineRule="auto"/>
              <w:jc w:val="center"/>
              <w:rPr>
                <w:rFonts w:ascii="楷体" w:hAnsi="楷体" w:eastAsia="楷体"/>
                <w:sz w:val="24"/>
                <w:szCs w:val="24"/>
              </w:rPr>
            </w:pPr>
            <w:r>
              <w:rPr>
                <w:rFonts w:ascii="楷体" w:hAnsi="楷体" w:eastAsia="楷体"/>
                <w:sz w:val="24"/>
                <w:szCs w:val="24"/>
              </w:rPr>
              <w:t>Q8.5.2</w:t>
            </w:r>
          </w:p>
          <w:p>
            <w:pPr>
              <w:spacing w:line="360" w:lineRule="auto"/>
              <w:jc w:val="center"/>
              <w:rPr>
                <w:rFonts w:ascii="楷体" w:hAnsi="楷体" w:eastAsia="楷体"/>
                <w:sz w:val="24"/>
                <w:szCs w:val="24"/>
              </w:rPr>
            </w:pPr>
            <w:r>
              <w:rPr>
                <w:rFonts w:ascii="楷体" w:hAnsi="楷体" w:eastAsia="楷体"/>
                <w:sz w:val="24"/>
                <w:szCs w:val="24"/>
              </w:rPr>
              <w:t>8.5.4</w:t>
            </w:r>
          </w:p>
        </w:tc>
        <w:tc>
          <w:tcPr>
            <w:tcW w:w="10464" w:type="dxa"/>
            <w:vAlign w:val="center"/>
          </w:tcPr>
          <w:p>
            <w:pPr>
              <w:spacing w:line="360" w:lineRule="auto"/>
              <w:ind w:firstLine="480" w:firstLineChars="200"/>
              <w:rPr>
                <w:rFonts w:ascii="楷体" w:hAnsi="楷体" w:eastAsia="楷体"/>
                <w:sz w:val="24"/>
                <w:szCs w:val="24"/>
              </w:rPr>
            </w:pPr>
            <w:r>
              <w:rPr>
                <w:rFonts w:hint="eastAsia" w:ascii="楷体" w:hAnsi="楷体" w:eastAsia="楷体"/>
                <w:sz w:val="24"/>
                <w:szCs w:val="24"/>
              </w:rPr>
              <w:t>产品标识主要通过划分区域、生产工艺记录、检验记录等进行标识，状态标识分为合格、不合格、待检等，生产加工过程中和产品监视和测量过程中有采取适当的方式对产品进行标识（含检验状态），标识有确保唯一性，当有追溯性要求时，可确保在必要时进行追溯。</w:t>
            </w:r>
          </w:p>
          <w:p>
            <w:pPr>
              <w:spacing w:line="360" w:lineRule="auto"/>
              <w:ind w:firstLine="480" w:firstLineChars="200"/>
              <w:rPr>
                <w:rFonts w:ascii="楷体" w:hAnsi="楷体" w:eastAsia="楷体"/>
                <w:sz w:val="24"/>
                <w:szCs w:val="24"/>
              </w:rPr>
            </w:pPr>
            <w:r>
              <w:rPr>
                <w:rFonts w:hint="eastAsia" w:ascii="楷体" w:hAnsi="楷体" w:eastAsia="楷体"/>
                <w:sz w:val="24"/>
                <w:szCs w:val="24"/>
              </w:rPr>
              <w:t>原材料依据不同的类型和防护要求进行防护，产品运输时防止跌落损坏等。</w:t>
            </w:r>
          </w:p>
          <w:p>
            <w:pPr>
              <w:spacing w:line="360" w:lineRule="auto"/>
              <w:ind w:firstLine="480" w:firstLineChars="200"/>
              <w:rPr>
                <w:rFonts w:ascii="楷体" w:hAnsi="楷体" w:eastAsia="楷体"/>
                <w:sz w:val="24"/>
                <w:szCs w:val="24"/>
              </w:rPr>
            </w:pPr>
            <w:r>
              <w:rPr>
                <w:rFonts w:hint="eastAsia" w:ascii="楷体" w:hAnsi="楷体" w:eastAsia="楷体"/>
                <w:sz w:val="24"/>
                <w:szCs w:val="24"/>
              </w:rPr>
              <w:t>生产车间现场加工的半成品、成品分别按区域放置。原材料分类分区放置在指定仓库、产品标识方法得当、未发现不同类型和状态产品发生混淆现象。标识和可追溯性基本符合标准要求。</w:t>
            </w:r>
          </w:p>
          <w:p>
            <w:pPr>
              <w:spacing w:line="360" w:lineRule="auto"/>
              <w:ind w:firstLine="480" w:firstLineChars="200"/>
              <w:rPr>
                <w:rFonts w:ascii="楷体" w:hAnsi="楷体" w:eastAsia="楷体"/>
                <w:sz w:val="24"/>
                <w:szCs w:val="24"/>
              </w:rPr>
            </w:pPr>
            <w:r>
              <w:rPr>
                <w:rFonts w:hint="eastAsia" w:ascii="楷体" w:hAnsi="楷体" w:eastAsia="楷体"/>
                <w:sz w:val="24"/>
                <w:szCs w:val="24"/>
              </w:rPr>
              <w:t>产品生产过程中有采取相应的措施进行防护，以确保符合要求。防护包括标识、处置、污染控制、包装、储存、运输以及保护等。产品交工、包装及交付到预定地点期间，针对产品采取适当的防护措施，包括选择合适的搬运方法和设备、贮存场所，保持标识完整、清晰。</w:t>
            </w:r>
          </w:p>
          <w:p>
            <w:pPr>
              <w:spacing w:line="360" w:lineRule="auto"/>
              <w:ind w:firstLine="480" w:firstLineChars="200"/>
              <w:rPr>
                <w:rFonts w:ascii="楷体" w:hAnsi="楷体" w:eastAsia="楷体"/>
                <w:sz w:val="24"/>
                <w:szCs w:val="24"/>
              </w:rPr>
            </w:pPr>
            <w:r>
              <w:rPr>
                <w:rFonts w:hint="eastAsia" w:ascii="楷体" w:hAnsi="楷体" w:eastAsia="楷体"/>
                <w:sz w:val="24"/>
                <w:szCs w:val="24"/>
              </w:rPr>
              <w:t>产品标识和防护管理基本符合要求。</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1384" w:type="dxa"/>
            <w:vAlign w:val="center"/>
          </w:tcPr>
          <w:p>
            <w:pPr>
              <w:spacing w:line="360" w:lineRule="auto"/>
              <w:jc w:val="center"/>
              <w:rPr>
                <w:rFonts w:ascii="楷体" w:hAnsi="楷体" w:eastAsia="楷体"/>
                <w:sz w:val="24"/>
                <w:szCs w:val="24"/>
              </w:rPr>
            </w:pPr>
            <w:r>
              <w:rPr>
                <w:rFonts w:hint="eastAsia" w:ascii="楷体" w:hAnsi="楷体" w:eastAsia="楷体"/>
                <w:sz w:val="24"/>
                <w:szCs w:val="24"/>
              </w:rPr>
              <w:t>更改控制</w:t>
            </w:r>
          </w:p>
        </w:tc>
        <w:tc>
          <w:tcPr>
            <w:tcW w:w="1276" w:type="dxa"/>
            <w:vAlign w:val="center"/>
          </w:tcPr>
          <w:p>
            <w:pPr>
              <w:tabs>
                <w:tab w:val="left" w:pos="7380"/>
              </w:tabs>
              <w:spacing w:line="360" w:lineRule="auto"/>
              <w:rPr>
                <w:rFonts w:ascii="楷体" w:hAnsi="楷体" w:eastAsia="楷体"/>
                <w:sz w:val="24"/>
                <w:szCs w:val="24"/>
              </w:rPr>
            </w:pPr>
            <w:r>
              <w:rPr>
                <w:rFonts w:ascii="楷体" w:hAnsi="楷体" w:eastAsia="楷体"/>
                <w:sz w:val="24"/>
                <w:szCs w:val="24"/>
              </w:rPr>
              <w:t>Q8.5.6</w:t>
            </w:r>
          </w:p>
        </w:tc>
        <w:tc>
          <w:tcPr>
            <w:tcW w:w="10464" w:type="dxa"/>
            <w:vAlign w:val="center"/>
          </w:tcPr>
          <w:p>
            <w:pPr>
              <w:spacing w:line="360" w:lineRule="auto"/>
              <w:ind w:firstLine="480" w:firstLineChars="200"/>
              <w:rPr>
                <w:rFonts w:ascii="楷体" w:hAnsi="楷体" w:eastAsia="楷体"/>
                <w:sz w:val="24"/>
                <w:szCs w:val="24"/>
              </w:rPr>
            </w:pPr>
            <w:r>
              <w:rPr>
                <w:rFonts w:hint="eastAsia" w:ascii="楷体" w:hAnsi="楷体" w:eastAsia="楷体" w:cs="宋体"/>
                <w:sz w:val="24"/>
                <w:szCs w:val="24"/>
                <w:lang w:val="en-US" w:eastAsia="zh-CN"/>
              </w:rPr>
              <w:t>史淑梅</w:t>
            </w:r>
            <w:r>
              <w:rPr>
                <w:rFonts w:hint="eastAsia" w:ascii="楷体" w:hAnsi="楷体" w:eastAsia="楷体"/>
                <w:sz w:val="24"/>
                <w:szCs w:val="24"/>
              </w:rPr>
              <w:t>介绍，当内外外部环境，如客户要求、产品技术和质量要求、生产工艺、适用的法律法规和产品技术标准等有更改时，相关部门提出更改计划并进行更改，更改由原制定人负责具体实施。自体系建立以来，未发生生产和服务控制有关信息的变更。</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1384" w:type="dxa"/>
          </w:tcPr>
          <w:p>
            <w:pPr>
              <w:spacing w:line="360" w:lineRule="auto"/>
              <w:rPr>
                <w:rFonts w:ascii="楷体" w:hAnsi="楷体" w:eastAsia="楷体"/>
                <w:bCs/>
                <w:szCs w:val="24"/>
              </w:rPr>
            </w:pPr>
            <w:r>
              <w:rPr>
                <w:rFonts w:hint="eastAsia" w:ascii="楷体" w:hAnsi="楷体" w:eastAsia="楷体"/>
                <w:bCs/>
                <w:szCs w:val="24"/>
              </w:rPr>
              <w:t>产品和服务的放行</w:t>
            </w:r>
          </w:p>
        </w:tc>
        <w:tc>
          <w:tcPr>
            <w:tcW w:w="1276" w:type="dxa"/>
          </w:tcPr>
          <w:p>
            <w:pPr>
              <w:spacing w:line="360" w:lineRule="auto"/>
              <w:jc w:val="left"/>
              <w:rPr>
                <w:rFonts w:ascii="楷体" w:hAnsi="楷体" w:eastAsia="楷体" w:cs="宋体"/>
                <w:bCs/>
                <w:sz w:val="24"/>
                <w:szCs w:val="24"/>
              </w:rPr>
            </w:pPr>
            <w:r>
              <w:rPr>
                <w:rFonts w:hint="eastAsia" w:ascii="楷体" w:hAnsi="楷体" w:eastAsia="楷体" w:cs="宋体"/>
                <w:bCs/>
                <w:sz w:val="24"/>
                <w:szCs w:val="24"/>
              </w:rPr>
              <w:t>Q8.6</w:t>
            </w:r>
          </w:p>
          <w:p>
            <w:pPr>
              <w:spacing w:line="360" w:lineRule="auto"/>
              <w:jc w:val="left"/>
              <w:rPr>
                <w:rFonts w:ascii="楷体" w:hAnsi="楷体" w:eastAsia="楷体" w:cs="宋体"/>
                <w:sz w:val="24"/>
                <w:szCs w:val="24"/>
              </w:rPr>
            </w:pPr>
          </w:p>
        </w:tc>
        <w:tc>
          <w:tcPr>
            <w:tcW w:w="10464" w:type="dxa"/>
          </w:tcPr>
          <w:p>
            <w:pPr>
              <w:spacing w:line="360" w:lineRule="auto"/>
              <w:jc w:val="left"/>
              <w:rPr>
                <w:rFonts w:ascii="楷体" w:hAnsi="楷体" w:eastAsia="楷体"/>
                <w:sz w:val="24"/>
                <w:szCs w:val="24"/>
              </w:rPr>
            </w:pPr>
            <w:r>
              <w:rPr>
                <w:rFonts w:hint="eastAsia" w:ascii="楷体" w:hAnsi="楷体" w:eastAsia="楷体"/>
                <w:sz w:val="24"/>
                <w:szCs w:val="24"/>
              </w:rPr>
              <w:t>采购产品验收、生产过程检验、产品放行等依据顾客技术要求，详见Q8.1。</w:t>
            </w:r>
          </w:p>
          <w:p>
            <w:pPr>
              <w:spacing w:line="360" w:lineRule="auto"/>
              <w:jc w:val="left"/>
              <w:rPr>
                <w:rFonts w:ascii="楷体" w:hAnsi="楷体" w:eastAsia="楷体"/>
                <w:sz w:val="24"/>
                <w:szCs w:val="24"/>
              </w:rPr>
            </w:pPr>
            <w:r>
              <w:rPr>
                <w:rFonts w:hint="eastAsia" w:ascii="楷体" w:hAnsi="楷体" w:eastAsia="楷体"/>
                <w:sz w:val="24"/>
                <w:szCs w:val="24"/>
              </w:rPr>
              <w:t>质检人员均经过公司培训考核合格具备检测能力，现场审核观察询问，检验员回答与操作皆符合规定要求。</w:t>
            </w:r>
          </w:p>
          <w:p>
            <w:pPr>
              <w:pStyle w:val="17"/>
              <w:numPr>
                <w:ilvl w:val="0"/>
                <w:numId w:val="2"/>
              </w:numPr>
              <w:spacing w:line="360" w:lineRule="auto"/>
              <w:ind w:firstLineChars="0"/>
              <w:jc w:val="left"/>
              <w:rPr>
                <w:rFonts w:ascii="楷体" w:hAnsi="楷体" w:eastAsia="楷体"/>
                <w:sz w:val="24"/>
                <w:szCs w:val="24"/>
              </w:rPr>
            </w:pPr>
            <w:r>
              <w:rPr>
                <w:rFonts w:hint="eastAsia" w:ascii="楷体" w:hAnsi="楷体" w:eastAsia="楷体"/>
                <w:sz w:val="24"/>
                <w:szCs w:val="24"/>
              </w:rPr>
              <w:t>进货检验：检验依据原材料检验作业指导书，</w:t>
            </w:r>
          </w:p>
          <w:p>
            <w:pPr>
              <w:pStyle w:val="17"/>
              <w:spacing w:line="360" w:lineRule="auto"/>
              <w:ind w:left="360" w:firstLine="0" w:firstLineChars="0"/>
              <w:jc w:val="left"/>
              <w:rPr>
                <w:rFonts w:ascii="楷体" w:hAnsi="楷体" w:eastAsia="楷体"/>
                <w:sz w:val="24"/>
                <w:szCs w:val="24"/>
              </w:rPr>
            </w:pPr>
            <w:r>
              <w:rPr>
                <w:rFonts w:hint="eastAsia" w:ascii="楷体" w:hAnsi="楷体" w:eastAsia="楷体"/>
                <w:sz w:val="24"/>
                <w:szCs w:val="24"/>
              </w:rPr>
              <w:t>提供了</w:t>
            </w:r>
            <w:r>
              <w:rPr>
                <w:rFonts w:hint="eastAsia" w:ascii="楷体" w:hAnsi="楷体" w:eastAsia="楷体"/>
                <w:sz w:val="24"/>
                <w:szCs w:val="24"/>
                <w:lang w:val="en-US" w:eastAsia="zh-CN"/>
              </w:rPr>
              <w:t>原材料进货</w:t>
            </w:r>
            <w:r>
              <w:rPr>
                <w:rFonts w:hint="eastAsia" w:ascii="楷体" w:hAnsi="楷体" w:eastAsia="楷体"/>
                <w:sz w:val="24"/>
                <w:szCs w:val="24"/>
              </w:rPr>
              <w:t>检验记录，</w:t>
            </w:r>
          </w:p>
          <w:p>
            <w:pPr>
              <w:spacing w:line="360" w:lineRule="auto"/>
              <w:ind w:firstLine="480" w:firstLineChars="200"/>
              <w:jc w:val="left"/>
              <w:rPr>
                <w:rFonts w:hint="eastAsia" w:ascii="楷体" w:hAnsi="楷体" w:eastAsia="楷体"/>
                <w:sz w:val="24"/>
                <w:szCs w:val="24"/>
              </w:rPr>
            </w:pPr>
            <w:r>
              <w:rPr>
                <w:rFonts w:hint="eastAsia" w:ascii="楷体" w:hAnsi="楷体" w:eastAsia="楷体"/>
                <w:sz w:val="24"/>
                <w:szCs w:val="24"/>
                <w:lang w:eastAsia="zh-CN"/>
              </w:rPr>
              <w:drawing>
                <wp:anchor distT="0" distB="0" distL="114300" distR="114300" simplePos="0" relativeHeight="251671552" behindDoc="0" locked="0" layoutInCell="1" allowOverlap="1">
                  <wp:simplePos x="0" y="0"/>
                  <wp:positionH relativeFrom="column">
                    <wp:posOffset>431800</wp:posOffset>
                  </wp:positionH>
                  <wp:positionV relativeFrom="paragraph">
                    <wp:posOffset>556260</wp:posOffset>
                  </wp:positionV>
                  <wp:extent cx="738505" cy="1314450"/>
                  <wp:effectExtent l="0" t="0" r="10795" b="6350"/>
                  <wp:wrapNone/>
                  <wp:docPr id="2" name="图片 2" descr="34f8fdbdf42a6918ba1e7830fffb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4f8fdbdf42a6918ba1e7830fffb971"/>
                          <pic:cNvPicPr>
                            <a:picLocks noChangeAspect="1"/>
                          </pic:cNvPicPr>
                        </pic:nvPicPr>
                        <pic:blipFill>
                          <a:blip r:embed="rId7"/>
                          <a:stretch>
                            <a:fillRect/>
                          </a:stretch>
                        </pic:blipFill>
                        <pic:spPr>
                          <a:xfrm>
                            <a:off x="0" y="0"/>
                            <a:ext cx="738505" cy="1314450"/>
                          </a:xfrm>
                          <a:prstGeom prst="rect">
                            <a:avLst/>
                          </a:prstGeom>
                        </pic:spPr>
                      </pic:pic>
                    </a:graphicData>
                  </a:graphic>
                </wp:anchor>
              </w:drawing>
            </w:r>
            <w:r>
              <w:rPr>
                <w:rFonts w:hint="eastAsia" w:ascii="楷体" w:hAnsi="楷体" w:eastAsia="楷体"/>
                <w:sz w:val="24"/>
                <w:szCs w:val="24"/>
              </w:rPr>
              <w:t>抽查20</w:t>
            </w:r>
            <w:r>
              <w:rPr>
                <w:rFonts w:hint="eastAsia" w:ascii="楷体" w:hAnsi="楷体" w:eastAsia="楷体"/>
                <w:sz w:val="24"/>
                <w:szCs w:val="24"/>
                <w:lang w:val="en-US" w:eastAsia="zh-CN"/>
              </w:rPr>
              <w:t>21</w:t>
            </w:r>
            <w:r>
              <w:rPr>
                <w:rFonts w:hint="eastAsia" w:ascii="楷体" w:hAnsi="楷体" w:eastAsia="楷体"/>
                <w:sz w:val="24"/>
                <w:szCs w:val="24"/>
              </w:rPr>
              <w:t>.</w:t>
            </w:r>
            <w:r>
              <w:rPr>
                <w:rFonts w:hint="eastAsia" w:ascii="楷体" w:hAnsi="楷体" w:eastAsia="楷体"/>
                <w:sz w:val="24"/>
                <w:szCs w:val="24"/>
                <w:lang w:val="en-US" w:eastAsia="zh-CN"/>
              </w:rPr>
              <w:t>1-3月原材料进货检验记录，对规格、外观质量、幅宽和重量进行检验，</w:t>
            </w:r>
            <w:r>
              <w:rPr>
                <w:rFonts w:hint="eastAsia" w:ascii="楷体" w:hAnsi="楷体" w:eastAsia="楷体"/>
                <w:sz w:val="24"/>
                <w:szCs w:val="24"/>
              </w:rPr>
              <w:t>检验结果合格，检验员</w:t>
            </w:r>
            <w:r>
              <w:rPr>
                <w:rFonts w:hint="eastAsia" w:ascii="楷体" w:hAnsi="楷体" w:eastAsia="楷体"/>
                <w:sz w:val="24"/>
                <w:szCs w:val="24"/>
                <w:lang w:val="en-US" w:eastAsia="zh-CN"/>
              </w:rPr>
              <w:t>吴翠兰</w:t>
            </w:r>
            <w:r>
              <w:rPr>
                <w:rFonts w:hint="eastAsia" w:ascii="楷体" w:hAnsi="楷体" w:eastAsia="楷体"/>
                <w:sz w:val="24"/>
                <w:szCs w:val="24"/>
              </w:rPr>
              <w:t>。</w:t>
            </w:r>
          </w:p>
          <w:p>
            <w:pPr>
              <w:spacing w:line="360" w:lineRule="auto"/>
              <w:ind w:firstLine="480" w:firstLineChars="200"/>
              <w:jc w:val="left"/>
              <w:rPr>
                <w:rFonts w:hint="eastAsia" w:ascii="楷体" w:hAnsi="楷体" w:eastAsia="楷体"/>
                <w:sz w:val="24"/>
                <w:szCs w:val="24"/>
                <w:lang w:eastAsia="zh-CN"/>
              </w:rPr>
            </w:pPr>
          </w:p>
          <w:p>
            <w:pPr>
              <w:spacing w:line="360" w:lineRule="auto"/>
              <w:jc w:val="left"/>
              <w:rPr>
                <w:rFonts w:hint="eastAsia" w:ascii="楷体" w:hAnsi="楷体" w:eastAsia="楷体"/>
                <w:sz w:val="24"/>
                <w:szCs w:val="24"/>
              </w:rPr>
            </w:pPr>
            <w:bookmarkStart w:id="0" w:name="_GoBack"/>
            <w:bookmarkEnd w:id="0"/>
          </w:p>
          <w:p>
            <w:pPr>
              <w:spacing w:line="360" w:lineRule="auto"/>
              <w:jc w:val="left"/>
              <w:rPr>
                <w:rFonts w:hint="eastAsia" w:ascii="楷体" w:hAnsi="楷体" w:eastAsia="楷体"/>
                <w:sz w:val="24"/>
                <w:szCs w:val="24"/>
              </w:rPr>
            </w:pPr>
          </w:p>
          <w:p>
            <w:pPr>
              <w:spacing w:line="360" w:lineRule="auto"/>
              <w:jc w:val="left"/>
              <w:rPr>
                <w:rFonts w:ascii="楷体" w:hAnsi="楷体" w:eastAsia="楷体"/>
                <w:sz w:val="24"/>
                <w:szCs w:val="24"/>
              </w:rPr>
            </w:pPr>
            <w:r>
              <w:rPr>
                <w:rFonts w:hint="eastAsia" w:ascii="楷体" w:hAnsi="楷体" w:eastAsia="楷体"/>
                <w:sz w:val="24"/>
                <w:szCs w:val="24"/>
              </w:rPr>
              <w:t>2、过程检验：检验依据检验作业指导书，</w:t>
            </w:r>
          </w:p>
          <w:p>
            <w:pPr>
              <w:spacing w:line="360" w:lineRule="auto"/>
              <w:ind w:firstLine="480" w:firstLineChars="200"/>
              <w:jc w:val="left"/>
              <w:rPr>
                <w:rFonts w:ascii="楷体" w:hAnsi="楷体" w:eastAsia="楷体"/>
                <w:sz w:val="24"/>
                <w:szCs w:val="24"/>
              </w:rPr>
            </w:pPr>
            <w:r>
              <w:rPr>
                <w:rFonts w:hint="eastAsia" w:ascii="楷体" w:hAnsi="楷体" w:eastAsia="楷体"/>
                <w:sz w:val="24"/>
                <w:szCs w:val="24"/>
              </w:rPr>
              <w:t>提供了</w:t>
            </w:r>
            <w:r>
              <w:rPr>
                <w:rFonts w:hint="eastAsia" w:ascii="楷体" w:hAnsi="楷体" w:eastAsia="楷体"/>
                <w:sz w:val="24"/>
                <w:szCs w:val="24"/>
                <w:lang w:val="en-US" w:eastAsia="zh-CN"/>
              </w:rPr>
              <w:t>2020年1-12月裁剪</w:t>
            </w:r>
            <w:r>
              <w:rPr>
                <w:rFonts w:hint="eastAsia" w:ascii="楷体" w:hAnsi="楷体" w:eastAsia="楷体"/>
                <w:sz w:val="24"/>
                <w:szCs w:val="24"/>
              </w:rPr>
              <w:t>工序</w:t>
            </w:r>
            <w:r>
              <w:rPr>
                <w:rFonts w:hint="eastAsia" w:ascii="楷体" w:hAnsi="楷体" w:eastAsia="楷体"/>
                <w:sz w:val="24"/>
                <w:szCs w:val="24"/>
                <w:lang w:val="en-US" w:eastAsia="zh-CN"/>
              </w:rPr>
              <w:t>半成品检验记录</w:t>
            </w:r>
            <w:r>
              <w:rPr>
                <w:rFonts w:hint="eastAsia" w:ascii="楷体" w:hAnsi="楷体" w:eastAsia="楷体"/>
                <w:sz w:val="24"/>
                <w:szCs w:val="24"/>
              </w:rPr>
              <w:t>，内容包括</w:t>
            </w:r>
            <w:r>
              <w:rPr>
                <w:rFonts w:hint="eastAsia" w:ascii="楷体" w:hAnsi="楷体" w:eastAsia="楷体"/>
                <w:sz w:val="24"/>
                <w:szCs w:val="24"/>
                <w:lang w:val="en-US" w:eastAsia="zh-CN"/>
              </w:rPr>
              <w:t>名称</w:t>
            </w:r>
            <w:r>
              <w:rPr>
                <w:rFonts w:hint="eastAsia" w:ascii="楷体" w:hAnsi="楷体" w:eastAsia="楷体"/>
                <w:sz w:val="24"/>
                <w:szCs w:val="24"/>
              </w:rPr>
              <w:t>、</w:t>
            </w:r>
            <w:r>
              <w:rPr>
                <w:rFonts w:hint="eastAsia" w:ascii="楷体" w:hAnsi="楷体" w:eastAsia="楷体"/>
                <w:sz w:val="24"/>
                <w:szCs w:val="24"/>
                <w:lang w:val="en-US" w:eastAsia="zh-CN"/>
              </w:rPr>
              <w:t>单位</w:t>
            </w:r>
            <w:r>
              <w:rPr>
                <w:rFonts w:hint="eastAsia" w:ascii="楷体" w:hAnsi="楷体" w:eastAsia="楷体"/>
                <w:sz w:val="24"/>
                <w:szCs w:val="24"/>
              </w:rPr>
              <w:t>、</w:t>
            </w:r>
            <w:r>
              <w:rPr>
                <w:rFonts w:hint="eastAsia" w:ascii="楷体" w:hAnsi="楷体" w:eastAsia="楷体"/>
                <w:sz w:val="24"/>
                <w:szCs w:val="24"/>
                <w:lang w:val="en-US" w:eastAsia="zh-CN"/>
              </w:rPr>
              <w:t>数量</w:t>
            </w:r>
            <w:r>
              <w:rPr>
                <w:rFonts w:hint="eastAsia" w:ascii="楷体" w:hAnsi="楷体" w:eastAsia="楷体"/>
                <w:sz w:val="24"/>
                <w:szCs w:val="24"/>
              </w:rPr>
              <w:t>、</w:t>
            </w:r>
            <w:r>
              <w:rPr>
                <w:rFonts w:hint="eastAsia" w:ascii="楷体" w:hAnsi="楷体" w:eastAsia="楷体"/>
                <w:sz w:val="24"/>
                <w:szCs w:val="24"/>
                <w:lang w:val="en-US" w:eastAsia="zh-CN"/>
              </w:rPr>
              <w:t>完成日期</w:t>
            </w:r>
            <w:r>
              <w:rPr>
                <w:rFonts w:hint="eastAsia" w:ascii="楷体" w:hAnsi="楷体" w:eastAsia="楷体"/>
                <w:sz w:val="24"/>
                <w:szCs w:val="24"/>
              </w:rPr>
              <w:t>，</w:t>
            </w:r>
            <w:r>
              <w:rPr>
                <w:rFonts w:hint="eastAsia" w:ascii="楷体" w:hAnsi="楷体" w:eastAsia="楷体"/>
                <w:sz w:val="24"/>
                <w:szCs w:val="24"/>
                <w:lang w:val="en-US" w:eastAsia="zh-CN"/>
              </w:rPr>
              <w:t>疵品数等，</w:t>
            </w:r>
            <w:r>
              <w:rPr>
                <w:rFonts w:hint="eastAsia" w:ascii="楷体" w:hAnsi="楷体" w:eastAsia="楷体"/>
                <w:sz w:val="24"/>
                <w:szCs w:val="24"/>
              </w:rPr>
              <w:t>检验员</w:t>
            </w:r>
            <w:r>
              <w:rPr>
                <w:rFonts w:hint="eastAsia" w:ascii="楷体" w:hAnsi="楷体" w:eastAsia="楷体"/>
                <w:sz w:val="24"/>
                <w:szCs w:val="24"/>
                <w:lang w:val="en-US" w:eastAsia="zh-CN"/>
              </w:rPr>
              <w:t>史淑梅</w:t>
            </w:r>
            <w:r>
              <w:rPr>
                <w:rFonts w:hint="eastAsia" w:ascii="楷体" w:hAnsi="楷体" w:eastAsia="楷体"/>
                <w:sz w:val="24"/>
                <w:szCs w:val="24"/>
              </w:rPr>
              <w:t>。</w:t>
            </w:r>
          </w:p>
          <w:p>
            <w:pPr>
              <w:spacing w:line="360" w:lineRule="auto"/>
              <w:jc w:val="left"/>
              <w:rPr>
                <w:rFonts w:ascii="楷体" w:hAnsi="楷体" w:eastAsia="楷体"/>
                <w:sz w:val="24"/>
                <w:szCs w:val="24"/>
              </w:rPr>
            </w:pPr>
            <w:r>
              <w:rPr>
                <w:rFonts w:hint="eastAsia" w:ascii="楷体" w:hAnsi="楷体" w:eastAsia="楷体"/>
                <w:sz w:val="24"/>
                <w:szCs w:val="24"/>
              </w:rPr>
              <w:t>3、成品（出厂）检验</w:t>
            </w:r>
            <w:r>
              <w:rPr>
                <w:rFonts w:hint="eastAsia" w:ascii="楷体" w:hAnsi="楷体" w:eastAsia="楷体"/>
                <w:sz w:val="24"/>
                <w:szCs w:val="24"/>
                <w:lang w:val="en-US" w:eastAsia="zh-CN"/>
              </w:rPr>
              <w:t>记录</w:t>
            </w:r>
            <w:r>
              <w:rPr>
                <w:rFonts w:hint="eastAsia" w:ascii="楷体" w:hAnsi="楷体" w:eastAsia="楷体"/>
                <w:sz w:val="24"/>
                <w:szCs w:val="24"/>
              </w:rPr>
              <w:t>：检验依据检验作业指导书、客户技术要求，</w:t>
            </w:r>
          </w:p>
          <w:p>
            <w:pPr>
              <w:spacing w:line="360" w:lineRule="auto"/>
              <w:jc w:val="left"/>
              <w:rPr>
                <w:rFonts w:ascii="楷体" w:hAnsi="楷体" w:eastAsia="楷体"/>
                <w:sz w:val="24"/>
                <w:szCs w:val="24"/>
              </w:rPr>
            </w:pPr>
            <w:r>
              <w:rPr>
                <w:rFonts w:hint="eastAsia" w:ascii="楷体" w:hAnsi="楷体" w:eastAsia="楷体"/>
                <w:sz w:val="24"/>
                <w:szCs w:val="24"/>
              </w:rPr>
              <w:t>抽查20</w:t>
            </w:r>
            <w:r>
              <w:rPr>
                <w:rFonts w:hint="eastAsia" w:ascii="楷体" w:hAnsi="楷体" w:eastAsia="楷体"/>
                <w:sz w:val="24"/>
                <w:szCs w:val="24"/>
                <w:lang w:val="en-US" w:eastAsia="zh-CN"/>
              </w:rPr>
              <w:t>20</w:t>
            </w:r>
            <w:r>
              <w:rPr>
                <w:rFonts w:hint="eastAsia" w:ascii="楷体" w:hAnsi="楷体" w:eastAsia="楷体"/>
                <w:sz w:val="24"/>
                <w:szCs w:val="24"/>
              </w:rPr>
              <w:t>.</w:t>
            </w:r>
            <w:r>
              <w:rPr>
                <w:rFonts w:hint="eastAsia" w:ascii="楷体" w:hAnsi="楷体" w:eastAsia="楷体"/>
                <w:sz w:val="24"/>
                <w:szCs w:val="24"/>
                <w:lang w:val="en-US" w:eastAsia="zh-CN"/>
              </w:rPr>
              <w:t>1-12月成品检验记录，内容包括：日期、品种、生效数量、平均重量、疵品数等，</w:t>
            </w:r>
            <w:r>
              <w:rPr>
                <w:rFonts w:hint="eastAsia" w:ascii="楷体" w:hAnsi="楷体" w:eastAsia="楷体"/>
                <w:sz w:val="24"/>
                <w:szCs w:val="24"/>
              </w:rPr>
              <w:t>检验人员</w:t>
            </w:r>
            <w:r>
              <w:rPr>
                <w:rFonts w:hint="eastAsia" w:ascii="楷体" w:hAnsi="楷体" w:eastAsia="楷体"/>
                <w:sz w:val="24"/>
                <w:szCs w:val="24"/>
                <w:lang w:val="en-US" w:eastAsia="zh-CN"/>
              </w:rPr>
              <w:t>吴翠兰，审核：史淑梅</w:t>
            </w:r>
            <w:r>
              <w:rPr>
                <w:rFonts w:hint="eastAsia" w:ascii="楷体" w:hAnsi="楷体" w:eastAsia="楷体"/>
                <w:sz w:val="24"/>
                <w:szCs w:val="24"/>
              </w:rPr>
              <w:t>。</w:t>
            </w:r>
          </w:p>
          <w:p>
            <w:pPr>
              <w:spacing w:line="360" w:lineRule="auto"/>
              <w:ind w:right="-6" w:rightChars="-3"/>
              <w:rPr>
                <w:rFonts w:ascii="楷体" w:hAnsi="楷体" w:eastAsia="楷体"/>
                <w:sz w:val="24"/>
                <w:szCs w:val="24"/>
              </w:rPr>
            </w:pPr>
            <w:r>
              <w:rPr>
                <w:rFonts w:hint="eastAsia" w:ascii="楷体" w:hAnsi="楷体" w:eastAsia="楷体"/>
                <w:sz w:val="24"/>
                <w:szCs w:val="24"/>
              </w:rPr>
              <w:t>4、第三方检验：</w:t>
            </w:r>
          </w:p>
          <w:p>
            <w:pPr>
              <w:spacing w:line="360" w:lineRule="auto"/>
              <w:jc w:val="left"/>
              <w:rPr>
                <w:rFonts w:hint="default" w:ascii="楷体" w:hAnsi="楷体" w:eastAsia="楷体"/>
                <w:sz w:val="24"/>
                <w:szCs w:val="24"/>
                <w:lang w:val="en-US" w:eastAsia="zh-CN"/>
              </w:rPr>
            </w:pPr>
            <w:r>
              <w:rPr>
                <w:rFonts w:hint="eastAsia" w:ascii="楷体" w:hAnsi="楷体" w:eastAsia="楷体"/>
                <w:sz w:val="24"/>
                <w:szCs w:val="24"/>
              </w:rPr>
              <w:t>提供20</w:t>
            </w:r>
            <w:r>
              <w:rPr>
                <w:rFonts w:hint="eastAsia" w:ascii="楷体" w:hAnsi="楷体" w:eastAsia="楷体"/>
                <w:sz w:val="24"/>
                <w:szCs w:val="24"/>
                <w:lang w:val="en-US" w:eastAsia="zh-CN"/>
              </w:rPr>
              <w:t>20</w:t>
            </w:r>
            <w:r>
              <w:rPr>
                <w:rFonts w:hint="eastAsia" w:ascii="楷体" w:hAnsi="楷体" w:eastAsia="楷体"/>
                <w:sz w:val="24"/>
                <w:szCs w:val="24"/>
              </w:rPr>
              <w:t>.</w:t>
            </w:r>
            <w:r>
              <w:rPr>
                <w:rFonts w:hint="eastAsia" w:ascii="楷体" w:hAnsi="楷体" w:eastAsia="楷体"/>
                <w:sz w:val="24"/>
                <w:szCs w:val="24"/>
                <w:lang w:val="en-US" w:eastAsia="zh-CN"/>
              </w:rPr>
              <w:t>8</w:t>
            </w:r>
            <w:r>
              <w:rPr>
                <w:rFonts w:hint="eastAsia" w:ascii="楷体" w:hAnsi="楷体" w:eastAsia="楷体"/>
                <w:sz w:val="24"/>
                <w:szCs w:val="24"/>
              </w:rPr>
              <w:t>.</w:t>
            </w:r>
            <w:r>
              <w:rPr>
                <w:rFonts w:hint="eastAsia" w:ascii="楷体" w:hAnsi="楷体" w:eastAsia="楷体"/>
                <w:sz w:val="24"/>
                <w:szCs w:val="24"/>
                <w:lang w:val="en-US" w:eastAsia="zh-CN"/>
              </w:rPr>
              <w:t>13</w:t>
            </w:r>
            <w:r>
              <w:rPr>
                <w:rFonts w:hint="eastAsia" w:ascii="楷体" w:hAnsi="楷体" w:eastAsia="楷体"/>
                <w:sz w:val="24"/>
                <w:szCs w:val="24"/>
              </w:rPr>
              <w:t>日</w:t>
            </w:r>
            <w:r>
              <w:rPr>
                <w:rFonts w:hint="eastAsia" w:ascii="楷体" w:hAnsi="楷体" w:eastAsia="楷体"/>
                <w:sz w:val="24"/>
                <w:szCs w:val="24"/>
                <w:lang w:val="en-US" w:eastAsia="zh-CN"/>
              </w:rPr>
              <w:t>塑料编织袋（聚丙烯）、塑料集装袋、打包带</w:t>
            </w:r>
            <w:r>
              <w:rPr>
                <w:rFonts w:hint="eastAsia" w:ascii="楷体" w:hAnsi="楷体" w:eastAsia="楷体"/>
                <w:sz w:val="24"/>
                <w:szCs w:val="24"/>
              </w:rPr>
              <w:t>检验报告，结果合格，检验机构</w:t>
            </w:r>
            <w:r>
              <w:rPr>
                <w:rFonts w:hint="eastAsia" w:ascii="楷体" w:hAnsi="楷体" w:eastAsia="楷体"/>
                <w:sz w:val="24"/>
                <w:szCs w:val="24"/>
                <w:lang w:eastAsia="zh-CN"/>
              </w:rPr>
              <w:t>：</w:t>
            </w:r>
            <w:r>
              <w:rPr>
                <w:rFonts w:hint="eastAsia" w:ascii="楷体" w:hAnsi="楷体" w:eastAsia="楷体"/>
                <w:sz w:val="24"/>
                <w:szCs w:val="24"/>
                <w:lang w:val="en-US" w:eastAsia="zh-CN"/>
              </w:rPr>
              <w:t>中国石油化工股份有限公司北京化工研究院化学建筑材料测试中心</w:t>
            </w:r>
          </w:p>
          <w:p>
            <w:pPr>
              <w:spacing w:line="360" w:lineRule="auto"/>
              <w:jc w:val="left"/>
              <w:rPr>
                <w:rFonts w:hint="default" w:ascii="楷体" w:hAnsi="楷体" w:eastAsia="楷体"/>
                <w:sz w:val="24"/>
                <w:szCs w:val="24"/>
                <w:lang w:val="en-US" w:eastAsia="zh-CN"/>
              </w:rPr>
            </w:pPr>
            <w:r>
              <w:drawing>
                <wp:inline distT="0" distB="0" distL="114300" distR="114300">
                  <wp:extent cx="3337560" cy="3143250"/>
                  <wp:effectExtent l="0" t="0" r="2540" b="635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8"/>
                          <a:stretch>
                            <a:fillRect/>
                          </a:stretch>
                        </pic:blipFill>
                        <pic:spPr>
                          <a:xfrm>
                            <a:off x="0" y="0"/>
                            <a:ext cx="3337560" cy="3143250"/>
                          </a:xfrm>
                          <a:prstGeom prst="rect">
                            <a:avLst/>
                          </a:prstGeom>
                          <a:noFill/>
                          <a:ln>
                            <a:noFill/>
                          </a:ln>
                        </pic:spPr>
                      </pic:pic>
                    </a:graphicData>
                  </a:graphic>
                </wp:inline>
              </w:drawing>
            </w:r>
            <w:r>
              <w:drawing>
                <wp:inline distT="0" distB="0" distL="114300" distR="114300">
                  <wp:extent cx="2792095" cy="3538220"/>
                  <wp:effectExtent l="0" t="0" r="1905" b="508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9"/>
                          <a:stretch>
                            <a:fillRect/>
                          </a:stretch>
                        </pic:blipFill>
                        <pic:spPr>
                          <a:xfrm>
                            <a:off x="0" y="0"/>
                            <a:ext cx="2792095" cy="3538220"/>
                          </a:xfrm>
                          <a:prstGeom prst="rect">
                            <a:avLst/>
                          </a:prstGeom>
                          <a:noFill/>
                          <a:ln>
                            <a:noFill/>
                          </a:ln>
                        </pic:spPr>
                      </pic:pic>
                    </a:graphicData>
                  </a:graphic>
                </wp:inline>
              </w:drawing>
            </w:r>
            <w:r>
              <w:drawing>
                <wp:inline distT="0" distB="0" distL="114300" distR="114300">
                  <wp:extent cx="3220085" cy="4324985"/>
                  <wp:effectExtent l="0" t="0" r="5715" b="571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0"/>
                          <a:stretch>
                            <a:fillRect/>
                          </a:stretch>
                        </pic:blipFill>
                        <pic:spPr>
                          <a:xfrm>
                            <a:off x="0" y="0"/>
                            <a:ext cx="3220085" cy="4324985"/>
                          </a:xfrm>
                          <a:prstGeom prst="rect">
                            <a:avLst/>
                          </a:prstGeom>
                          <a:noFill/>
                          <a:ln>
                            <a:noFill/>
                          </a:ln>
                        </pic:spPr>
                      </pic:pic>
                    </a:graphicData>
                  </a:graphic>
                </wp:inline>
              </w:drawing>
            </w:r>
            <w:r>
              <w:drawing>
                <wp:inline distT="0" distB="0" distL="114300" distR="114300">
                  <wp:extent cx="3265805" cy="4351655"/>
                  <wp:effectExtent l="0" t="0" r="10795" b="444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1"/>
                          <a:stretch>
                            <a:fillRect/>
                          </a:stretch>
                        </pic:blipFill>
                        <pic:spPr>
                          <a:xfrm>
                            <a:off x="0" y="0"/>
                            <a:ext cx="3265805" cy="4351655"/>
                          </a:xfrm>
                          <a:prstGeom prst="rect">
                            <a:avLst/>
                          </a:prstGeom>
                          <a:noFill/>
                          <a:ln>
                            <a:noFill/>
                          </a:ln>
                        </pic:spPr>
                      </pic:pic>
                    </a:graphicData>
                  </a:graphic>
                </wp:inline>
              </w:drawing>
            </w:r>
          </w:p>
          <w:p>
            <w:pPr>
              <w:spacing w:line="360" w:lineRule="auto"/>
              <w:jc w:val="left"/>
              <w:rPr>
                <w:rFonts w:ascii="楷体" w:hAnsi="楷体" w:eastAsia="楷体"/>
                <w:sz w:val="24"/>
                <w:szCs w:val="24"/>
              </w:rPr>
            </w:pPr>
          </w:p>
          <w:p>
            <w:pPr>
              <w:spacing w:line="360" w:lineRule="auto"/>
              <w:jc w:val="left"/>
              <w:rPr>
                <w:rFonts w:ascii="楷体" w:hAnsi="楷体" w:eastAsia="楷体"/>
                <w:sz w:val="24"/>
                <w:szCs w:val="24"/>
              </w:rPr>
            </w:pPr>
          </w:p>
          <w:p>
            <w:pPr>
              <w:spacing w:line="360" w:lineRule="auto"/>
              <w:jc w:val="left"/>
              <w:rPr>
                <w:rFonts w:ascii="楷体" w:hAnsi="楷体" w:eastAsia="楷体"/>
                <w:sz w:val="24"/>
                <w:szCs w:val="24"/>
              </w:rPr>
            </w:pPr>
          </w:p>
          <w:p>
            <w:pPr>
              <w:spacing w:line="360" w:lineRule="auto"/>
              <w:jc w:val="left"/>
              <w:rPr>
                <w:rFonts w:ascii="楷体" w:hAnsi="楷体" w:eastAsia="楷体"/>
                <w:sz w:val="24"/>
                <w:szCs w:val="24"/>
              </w:rPr>
            </w:pPr>
            <w:r>
              <w:drawing>
                <wp:inline distT="0" distB="0" distL="114300" distR="114300">
                  <wp:extent cx="1884680" cy="2540635"/>
                  <wp:effectExtent l="0" t="0" r="7620" b="1206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2"/>
                          <a:stretch>
                            <a:fillRect/>
                          </a:stretch>
                        </pic:blipFill>
                        <pic:spPr>
                          <a:xfrm>
                            <a:off x="0" y="0"/>
                            <a:ext cx="1884680" cy="2540635"/>
                          </a:xfrm>
                          <a:prstGeom prst="rect">
                            <a:avLst/>
                          </a:prstGeom>
                          <a:noFill/>
                          <a:ln>
                            <a:noFill/>
                          </a:ln>
                        </pic:spPr>
                      </pic:pic>
                    </a:graphicData>
                  </a:graphic>
                </wp:inline>
              </w:drawing>
            </w:r>
            <w:r>
              <w:drawing>
                <wp:inline distT="0" distB="0" distL="114300" distR="114300">
                  <wp:extent cx="1770380" cy="2559685"/>
                  <wp:effectExtent l="0" t="0" r="7620" b="571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3"/>
                          <a:stretch>
                            <a:fillRect/>
                          </a:stretch>
                        </pic:blipFill>
                        <pic:spPr>
                          <a:xfrm>
                            <a:off x="0" y="0"/>
                            <a:ext cx="1770380" cy="2559685"/>
                          </a:xfrm>
                          <a:prstGeom prst="rect">
                            <a:avLst/>
                          </a:prstGeom>
                          <a:noFill/>
                          <a:ln>
                            <a:noFill/>
                          </a:ln>
                        </pic:spPr>
                      </pic:pic>
                    </a:graphicData>
                  </a:graphic>
                </wp:inline>
              </w:drawing>
            </w:r>
            <w:r>
              <w:drawing>
                <wp:inline distT="0" distB="0" distL="114300" distR="114300">
                  <wp:extent cx="1859915" cy="2528570"/>
                  <wp:effectExtent l="0" t="0" r="6985" b="1143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4"/>
                          <a:stretch>
                            <a:fillRect/>
                          </a:stretch>
                        </pic:blipFill>
                        <pic:spPr>
                          <a:xfrm>
                            <a:off x="0" y="0"/>
                            <a:ext cx="1859915" cy="2528570"/>
                          </a:xfrm>
                          <a:prstGeom prst="rect">
                            <a:avLst/>
                          </a:prstGeom>
                          <a:noFill/>
                          <a:ln>
                            <a:noFill/>
                          </a:ln>
                        </pic:spPr>
                      </pic:pic>
                    </a:graphicData>
                  </a:graphic>
                </wp:inline>
              </w:drawing>
            </w:r>
          </w:p>
          <w:p>
            <w:pPr>
              <w:spacing w:line="360" w:lineRule="auto"/>
              <w:jc w:val="left"/>
              <w:rPr>
                <w:rFonts w:ascii="楷体" w:hAnsi="楷体" w:eastAsia="楷体"/>
                <w:sz w:val="24"/>
                <w:szCs w:val="24"/>
              </w:rPr>
            </w:pPr>
            <w:r>
              <w:drawing>
                <wp:anchor distT="0" distB="0" distL="114300" distR="114300" simplePos="0" relativeHeight="251664384" behindDoc="0" locked="0" layoutInCell="1" allowOverlap="1">
                  <wp:simplePos x="0" y="0"/>
                  <wp:positionH relativeFrom="column">
                    <wp:posOffset>2272665</wp:posOffset>
                  </wp:positionH>
                  <wp:positionV relativeFrom="paragraph">
                    <wp:posOffset>143510</wp:posOffset>
                  </wp:positionV>
                  <wp:extent cx="2101215" cy="2827020"/>
                  <wp:effectExtent l="0" t="0" r="6985" b="5080"/>
                  <wp:wrapNone/>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5"/>
                          <a:stretch>
                            <a:fillRect/>
                          </a:stretch>
                        </pic:blipFill>
                        <pic:spPr>
                          <a:xfrm>
                            <a:off x="0" y="0"/>
                            <a:ext cx="2101215" cy="2827020"/>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-57150</wp:posOffset>
                  </wp:positionH>
                  <wp:positionV relativeFrom="paragraph">
                    <wp:posOffset>142875</wp:posOffset>
                  </wp:positionV>
                  <wp:extent cx="2292350" cy="2813050"/>
                  <wp:effectExtent l="0" t="0" r="6350" b="6350"/>
                  <wp:wrapNone/>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6"/>
                          <a:stretch>
                            <a:fillRect/>
                          </a:stretch>
                        </pic:blipFill>
                        <pic:spPr>
                          <a:xfrm>
                            <a:off x="0" y="0"/>
                            <a:ext cx="2292350" cy="2813050"/>
                          </a:xfrm>
                          <a:prstGeom prst="rect">
                            <a:avLst/>
                          </a:prstGeom>
                          <a:noFill/>
                          <a:ln>
                            <a:noFill/>
                          </a:ln>
                        </pic:spPr>
                      </pic:pic>
                    </a:graphicData>
                  </a:graphic>
                </wp:anchor>
              </w:drawing>
            </w:r>
          </w:p>
          <w:p>
            <w:pPr>
              <w:spacing w:line="360" w:lineRule="auto"/>
              <w:jc w:val="left"/>
              <w:rPr>
                <w:rFonts w:ascii="楷体" w:hAnsi="楷体" w:eastAsia="楷体"/>
                <w:sz w:val="24"/>
                <w:szCs w:val="24"/>
              </w:rPr>
            </w:pPr>
          </w:p>
          <w:p>
            <w:pPr>
              <w:spacing w:line="360" w:lineRule="auto"/>
              <w:jc w:val="left"/>
              <w:rPr>
                <w:rFonts w:ascii="楷体" w:hAnsi="楷体" w:eastAsia="楷体"/>
                <w:sz w:val="24"/>
                <w:szCs w:val="24"/>
              </w:rPr>
            </w:pPr>
          </w:p>
          <w:p>
            <w:pPr>
              <w:spacing w:line="360" w:lineRule="auto"/>
              <w:jc w:val="left"/>
              <w:rPr>
                <w:rFonts w:ascii="楷体" w:hAnsi="楷体" w:eastAsia="楷体"/>
                <w:sz w:val="24"/>
                <w:szCs w:val="24"/>
              </w:rPr>
            </w:pPr>
          </w:p>
          <w:p>
            <w:pPr>
              <w:spacing w:line="360" w:lineRule="auto"/>
              <w:jc w:val="left"/>
              <w:rPr>
                <w:rFonts w:ascii="楷体" w:hAnsi="楷体" w:eastAsia="楷体"/>
                <w:sz w:val="24"/>
                <w:szCs w:val="24"/>
              </w:rPr>
            </w:pPr>
          </w:p>
          <w:p>
            <w:pPr>
              <w:spacing w:line="360" w:lineRule="auto"/>
              <w:jc w:val="left"/>
              <w:rPr>
                <w:rFonts w:ascii="楷体" w:hAnsi="楷体" w:eastAsia="楷体"/>
                <w:sz w:val="24"/>
                <w:szCs w:val="24"/>
              </w:rPr>
            </w:pPr>
          </w:p>
          <w:p>
            <w:pPr>
              <w:spacing w:line="360" w:lineRule="auto"/>
              <w:jc w:val="left"/>
              <w:rPr>
                <w:rFonts w:ascii="楷体" w:hAnsi="楷体" w:eastAsia="楷体"/>
                <w:sz w:val="24"/>
                <w:szCs w:val="24"/>
              </w:rPr>
            </w:pPr>
          </w:p>
          <w:p>
            <w:pPr>
              <w:spacing w:line="360" w:lineRule="auto"/>
              <w:jc w:val="left"/>
              <w:rPr>
                <w:rFonts w:ascii="楷体" w:hAnsi="楷体" w:eastAsia="楷体"/>
                <w:sz w:val="24"/>
                <w:szCs w:val="24"/>
              </w:rPr>
            </w:pPr>
          </w:p>
          <w:p>
            <w:pPr>
              <w:spacing w:line="360" w:lineRule="auto"/>
              <w:jc w:val="left"/>
              <w:rPr>
                <w:rFonts w:ascii="楷体" w:hAnsi="楷体" w:eastAsia="楷体"/>
                <w:sz w:val="24"/>
                <w:szCs w:val="24"/>
              </w:rPr>
            </w:pPr>
          </w:p>
          <w:p>
            <w:pPr>
              <w:tabs>
                <w:tab w:val="left" w:pos="3909"/>
              </w:tabs>
              <w:spacing w:line="360" w:lineRule="auto"/>
              <w:jc w:val="left"/>
              <w:rPr>
                <w:rFonts w:hint="eastAsia" w:ascii="楷体" w:hAnsi="楷体" w:eastAsia="楷体"/>
                <w:sz w:val="24"/>
                <w:szCs w:val="24"/>
                <w:lang w:eastAsia="zh-CN"/>
              </w:rPr>
            </w:pPr>
            <w:r>
              <w:rPr>
                <w:rFonts w:hint="eastAsia" w:ascii="楷体" w:hAnsi="楷体" w:eastAsia="楷体"/>
                <w:sz w:val="24"/>
                <w:szCs w:val="24"/>
                <w:lang w:eastAsia="zh-CN"/>
              </w:rPr>
              <w:tab/>
            </w:r>
          </w:p>
          <w:p>
            <w:pPr>
              <w:spacing w:line="360" w:lineRule="auto"/>
              <w:jc w:val="left"/>
              <w:rPr>
                <w:rFonts w:ascii="楷体" w:hAnsi="楷体" w:eastAsia="楷体"/>
                <w:sz w:val="24"/>
                <w:szCs w:val="24"/>
              </w:rPr>
            </w:pPr>
          </w:p>
          <w:p>
            <w:pPr>
              <w:spacing w:line="360" w:lineRule="auto"/>
              <w:jc w:val="left"/>
              <w:rPr>
                <w:rFonts w:ascii="楷体" w:hAnsi="楷体" w:eastAsia="楷体"/>
                <w:sz w:val="24"/>
                <w:szCs w:val="24"/>
              </w:rPr>
            </w:pPr>
            <w:r>
              <w:drawing>
                <wp:inline distT="0" distB="0" distL="114300" distR="114300">
                  <wp:extent cx="1704340" cy="2374900"/>
                  <wp:effectExtent l="0" t="0" r="10160" b="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17"/>
                          <a:stretch>
                            <a:fillRect/>
                          </a:stretch>
                        </pic:blipFill>
                        <pic:spPr>
                          <a:xfrm>
                            <a:off x="0" y="0"/>
                            <a:ext cx="1704340" cy="2374900"/>
                          </a:xfrm>
                          <a:prstGeom prst="rect">
                            <a:avLst/>
                          </a:prstGeom>
                          <a:noFill/>
                          <a:ln>
                            <a:noFill/>
                          </a:ln>
                        </pic:spPr>
                      </pic:pic>
                    </a:graphicData>
                  </a:graphic>
                </wp:inline>
              </w:drawing>
            </w:r>
            <w:r>
              <w:drawing>
                <wp:inline distT="0" distB="0" distL="114300" distR="114300">
                  <wp:extent cx="1638935" cy="2372995"/>
                  <wp:effectExtent l="0" t="0" r="12065" b="190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18"/>
                          <a:stretch>
                            <a:fillRect/>
                          </a:stretch>
                        </pic:blipFill>
                        <pic:spPr>
                          <a:xfrm>
                            <a:off x="0" y="0"/>
                            <a:ext cx="1638935" cy="2372995"/>
                          </a:xfrm>
                          <a:prstGeom prst="rect">
                            <a:avLst/>
                          </a:prstGeom>
                          <a:noFill/>
                          <a:ln>
                            <a:noFill/>
                          </a:ln>
                        </pic:spPr>
                      </pic:pic>
                    </a:graphicData>
                  </a:graphic>
                </wp:inline>
              </w:drawing>
            </w:r>
            <w:r>
              <w:drawing>
                <wp:inline distT="0" distB="0" distL="114300" distR="114300">
                  <wp:extent cx="1770380" cy="2340610"/>
                  <wp:effectExtent l="0" t="0" r="7620" b="889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19"/>
                          <a:stretch>
                            <a:fillRect/>
                          </a:stretch>
                        </pic:blipFill>
                        <pic:spPr>
                          <a:xfrm>
                            <a:off x="0" y="0"/>
                            <a:ext cx="1770380" cy="2340610"/>
                          </a:xfrm>
                          <a:prstGeom prst="rect">
                            <a:avLst/>
                          </a:prstGeom>
                          <a:noFill/>
                          <a:ln>
                            <a:noFill/>
                          </a:ln>
                        </pic:spPr>
                      </pic:pic>
                    </a:graphicData>
                  </a:graphic>
                </wp:inline>
              </w:drawing>
            </w:r>
          </w:p>
          <w:p>
            <w:pPr>
              <w:spacing w:line="360" w:lineRule="auto"/>
              <w:jc w:val="left"/>
              <w:rPr>
                <w:rFonts w:ascii="楷体" w:hAnsi="楷体" w:eastAsia="楷体"/>
                <w:sz w:val="24"/>
                <w:szCs w:val="24"/>
              </w:rPr>
            </w:pPr>
            <w:r>
              <w:drawing>
                <wp:anchor distT="0" distB="0" distL="114300" distR="114300" simplePos="0" relativeHeight="251667456" behindDoc="0" locked="0" layoutInCell="1" allowOverlap="1">
                  <wp:simplePos x="0" y="0"/>
                  <wp:positionH relativeFrom="column">
                    <wp:posOffset>3308350</wp:posOffset>
                  </wp:positionH>
                  <wp:positionV relativeFrom="paragraph">
                    <wp:posOffset>146685</wp:posOffset>
                  </wp:positionV>
                  <wp:extent cx="2280285" cy="2362835"/>
                  <wp:effectExtent l="0" t="0" r="5715" b="12065"/>
                  <wp:wrapNone/>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20"/>
                          <a:stretch>
                            <a:fillRect/>
                          </a:stretch>
                        </pic:blipFill>
                        <pic:spPr>
                          <a:xfrm>
                            <a:off x="0" y="0"/>
                            <a:ext cx="2280285" cy="2362835"/>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column">
                    <wp:posOffset>1624965</wp:posOffset>
                  </wp:positionH>
                  <wp:positionV relativeFrom="paragraph">
                    <wp:posOffset>133350</wp:posOffset>
                  </wp:positionV>
                  <wp:extent cx="1619250" cy="2362200"/>
                  <wp:effectExtent l="0" t="0" r="6350" b="0"/>
                  <wp:wrapNone/>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21"/>
                          <a:stretch>
                            <a:fillRect/>
                          </a:stretch>
                        </pic:blipFill>
                        <pic:spPr>
                          <a:xfrm>
                            <a:off x="0" y="0"/>
                            <a:ext cx="1619250" cy="2362200"/>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50800</wp:posOffset>
                  </wp:positionH>
                  <wp:positionV relativeFrom="paragraph">
                    <wp:posOffset>146050</wp:posOffset>
                  </wp:positionV>
                  <wp:extent cx="1490345" cy="2248535"/>
                  <wp:effectExtent l="0" t="0" r="8255" b="12065"/>
                  <wp:wrapNone/>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22"/>
                          <a:stretch>
                            <a:fillRect/>
                          </a:stretch>
                        </pic:blipFill>
                        <pic:spPr>
                          <a:xfrm>
                            <a:off x="0" y="0"/>
                            <a:ext cx="1490345" cy="2248535"/>
                          </a:xfrm>
                          <a:prstGeom prst="rect">
                            <a:avLst/>
                          </a:prstGeom>
                          <a:noFill/>
                          <a:ln>
                            <a:noFill/>
                          </a:ln>
                        </pic:spPr>
                      </pic:pic>
                    </a:graphicData>
                  </a:graphic>
                </wp:anchor>
              </w:drawing>
            </w:r>
          </w:p>
          <w:p>
            <w:pPr>
              <w:spacing w:line="360" w:lineRule="auto"/>
              <w:jc w:val="left"/>
              <w:rPr>
                <w:rFonts w:ascii="楷体" w:hAnsi="楷体" w:eastAsia="楷体"/>
                <w:sz w:val="24"/>
                <w:szCs w:val="24"/>
              </w:rPr>
            </w:pPr>
            <w:r>
              <w:rPr>
                <w:rFonts w:ascii="楷体" w:hAnsi="楷体" w:eastAsia="楷体"/>
                <w:sz w:val="24"/>
                <w:szCs w:val="24"/>
              </w:rPr>
              <w:t xml:space="preserve"> </w:t>
            </w:r>
          </w:p>
          <w:p>
            <w:pPr>
              <w:spacing w:line="360" w:lineRule="auto"/>
              <w:jc w:val="left"/>
              <w:rPr>
                <w:rFonts w:ascii="楷体" w:hAnsi="楷体" w:eastAsia="楷体"/>
                <w:sz w:val="24"/>
                <w:szCs w:val="24"/>
              </w:rPr>
            </w:pPr>
          </w:p>
          <w:p>
            <w:pPr>
              <w:spacing w:line="360" w:lineRule="auto"/>
              <w:jc w:val="left"/>
              <w:rPr>
                <w:rFonts w:ascii="楷体" w:hAnsi="楷体" w:eastAsia="楷体"/>
                <w:sz w:val="24"/>
                <w:szCs w:val="24"/>
              </w:rPr>
            </w:pPr>
          </w:p>
          <w:p>
            <w:pPr>
              <w:spacing w:line="360" w:lineRule="auto"/>
              <w:jc w:val="left"/>
              <w:rPr>
                <w:rFonts w:ascii="楷体" w:hAnsi="楷体" w:eastAsia="楷体"/>
                <w:sz w:val="24"/>
                <w:szCs w:val="24"/>
              </w:rPr>
            </w:pPr>
          </w:p>
          <w:p>
            <w:pPr>
              <w:tabs>
                <w:tab w:val="left" w:pos="5869"/>
              </w:tabs>
              <w:spacing w:line="360" w:lineRule="auto"/>
              <w:jc w:val="left"/>
              <w:rPr>
                <w:rFonts w:hint="eastAsia" w:ascii="楷体" w:hAnsi="楷体" w:eastAsia="楷体"/>
                <w:sz w:val="24"/>
                <w:szCs w:val="24"/>
                <w:lang w:eastAsia="zh-CN"/>
              </w:rPr>
            </w:pPr>
            <w:r>
              <w:rPr>
                <w:rFonts w:hint="eastAsia" w:ascii="楷体" w:hAnsi="楷体" w:eastAsia="楷体"/>
                <w:sz w:val="24"/>
                <w:szCs w:val="24"/>
                <w:lang w:eastAsia="zh-CN"/>
              </w:rPr>
              <w:tab/>
            </w:r>
          </w:p>
          <w:p>
            <w:pPr>
              <w:spacing w:line="360" w:lineRule="auto"/>
              <w:jc w:val="left"/>
              <w:rPr>
                <w:rFonts w:ascii="楷体" w:hAnsi="楷体" w:eastAsia="楷体"/>
                <w:sz w:val="24"/>
                <w:szCs w:val="24"/>
              </w:rPr>
            </w:pPr>
            <w:r>
              <w:rPr>
                <w:rFonts w:ascii="楷体" w:hAnsi="楷体" w:eastAsia="楷体"/>
                <w:sz w:val="24"/>
                <w:szCs w:val="24"/>
              </w:rPr>
              <w:pict>
                <v:shape id="_x0000_s1026" o:spid="_x0000_s1026" style="position:absolute;left:0pt;margin-left:739.15pt;margin-top:3179.35pt;height:0pt;width:0pt;z-index:251659264;mso-width-relative:page;mso-height-relative:page;" filled="f" coordorigin="5270,21082" coordsize="1,1" path="m5270,21082l5270,21082e">
                  <v:fill on="f" focussize="0,0"/>
                  <v:stroke weight="1pt" endcap="round"/>
                  <v:imagedata o:title=""/>
                  <o:lock v:ext="edit" rotation="t" text="t" aspectratio="t"/>
                  <o:ink i="ACQdAgQEAxVIEUUjGwI5iwBGIxsCOYsAVw0AAAAKBwEOUlgQUlo=&#10;"/>
                </v:shape>
              </w:pict>
            </w:r>
          </w:p>
          <w:p>
            <w:pPr>
              <w:tabs>
                <w:tab w:val="left" w:pos="2709"/>
              </w:tabs>
              <w:spacing w:line="360" w:lineRule="auto"/>
              <w:jc w:val="left"/>
              <w:rPr>
                <w:rFonts w:hint="eastAsia" w:ascii="楷体" w:hAnsi="楷体" w:eastAsia="楷体"/>
                <w:sz w:val="24"/>
                <w:szCs w:val="24"/>
                <w:lang w:eastAsia="zh-CN"/>
              </w:rPr>
            </w:pPr>
            <w:r>
              <w:rPr>
                <w:rFonts w:hint="eastAsia" w:ascii="楷体" w:hAnsi="楷体" w:eastAsia="楷体"/>
                <w:sz w:val="24"/>
                <w:szCs w:val="24"/>
                <w:lang w:eastAsia="zh-CN"/>
              </w:rPr>
              <w:tab/>
            </w:r>
          </w:p>
          <w:p>
            <w:pPr>
              <w:spacing w:line="360" w:lineRule="auto"/>
              <w:jc w:val="left"/>
              <w:rPr>
                <w:rFonts w:ascii="楷体" w:hAnsi="楷体" w:eastAsia="楷体"/>
                <w:sz w:val="24"/>
                <w:szCs w:val="24"/>
              </w:rPr>
            </w:pPr>
          </w:p>
          <w:p>
            <w:pPr>
              <w:spacing w:line="360" w:lineRule="auto"/>
              <w:jc w:val="left"/>
              <w:rPr>
                <w:rFonts w:ascii="楷体" w:hAnsi="楷体" w:eastAsia="楷体"/>
                <w:sz w:val="24"/>
                <w:szCs w:val="24"/>
              </w:rPr>
            </w:pPr>
            <w:r>
              <w:drawing>
                <wp:inline distT="0" distB="0" distL="114300" distR="114300">
                  <wp:extent cx="3702050" cy="4857750"/>
                  <wp:effectExtent l="0" t="0" r="6350" b="635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23"/>
                          <a:stretch>
                            <a:fillRect/>
                          </a:stretch>
                        </pic:blipFill>
                        <pic:spPr>
                          <a:xfrm>
                            <a:off x="0" y="0"/>
                            <a:ext cx="3702050" cy="4857750"/>
                          </a:xfrm>
                          <a:prstGeom prst="rect">
                            <a:avLst/>
                          </a:prstGeom>
                          <a:noFill/>
                          <a:ln>
                            <a:noFill/>
                          </a:ln>
                        </pic:spPr>
                      </pic:pic>
                    </a:graphicData>
                  </a:graphic>
                </wp:inline>
              </w:drawing>
            </w:r>
          </w:p>
          <w:p>
            <w:pPr>
              <w:spacing w:line="360" w:lineRule="auto"/>
              <w:jc w:val="left"/>
              <w:rPr>
                <w:rFonts w:ascii="楷体" w:hAnsi="楷体" w:eastAsia="楷体"/>
                <w:sz w:val="24"/>
                <w:szCs w:val="24"/>
              </w:rPr>
            </w:pPr>
          </w:p>
          <w:p>
            <w:pPr>
              <w:spacing w:line="360" w:lineRule="auto"/>
              <w:ind w:firstLine="480" w:firstLineChars="200"/>
              <w:rPr>
                <w:rFonts w:ascii="楷体" w:hAnsi="楷体" w:eastAsia="楷体"/>
                <w:sz w:val="24"/>
                <w:szCs w:val="24"/>
              </w:rPr>
            </w:pPr>
            <w:r>
              <w:rPr>
                <w:rFonts w:hint="eastAsia" w:ascii="楷体" w:hAnsi="楷体" w:eastAsia="楷体" w:cs="Arial"/>
                <w:sz w:val="24"/>
                <w:szCs w:val="24"/>
              </w:rPr>
              <w:t>通过上述记录了解到，组织对产品实现的各过程进行了有效的监视测量，并进行了相应状态的标识，产品必须经检验合格才能交付，确保能满足顾客对产品的质量要求。</w:t>
            </w:r>
          </w:p>
          <w:p>
            <w:pPr>
              <w:spacing w:line="360" w:lineRule="auto"/>
              <w:jc w:val="left"/>
              <w:rPr>
                <w:rFonts w:ascii="楷体" w:hAnsi="楷体" w:eastAsia="楷体" w:cs="宋体"/>
                <w:sz w:val="24"/>
                <w:szCs w:val="24"/>
              </w:rPr>
            </w:pPr>
            <w:r>
              <w:rPr>
                <w:rFonts w:hint="eastAsia" w:ascii="楷体" w:hAnsi="楷体" w:eastAsia="楷体" w:cs="Arial"/>
                <w:sz w:val="24"/>
                <w:szCs w:val="24"/>
              </w:rPr>
              <w:t>公司产品的监视和测量控制基本符合规定要求。</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9" w:hRule="atLeast"/>
        </w:trPr>
        <w:tc>
          <w:tcPr>
            <w:tcW w:w="1384" w:type="dxa"/>
            <w:vAlign w:val="center"/>
          </w:tcPr>
          <w:p>
            <w:pPr>
              <w:spacing w:line="360" w:lineRule="auto"/>
              <w:jc w:val="center"/>
              <w:rPr>
                <w:rFonts w:ascii="楷体" w:hAnsi="楷体" w:eastAsia="楷体" w:cs="楷体"/>
                <w:sz w:val="24"/>
                <w:szCs w:val="24"/>
              </w:rPr>
            </w:pPr>
            <w:r>
              <w:rPr>
                <w:rFonts w:hint="eastAsia" w:ascii="楷体" w:hAnsi="楷体" w:eastAsia="楷体" w:cs="楷体"/>
                <w:sz w:val="24"/>
                <w:szCs w:val="24"/>
              </w:rPr>
              <w:t>不合格输出的控制</w:t>
            </w:r>
          </w:p>
        </w:tc>
        <w:tc>
          <w:tcPr>
            <w:tcW w:w="1276" w:type="dxa"/>
            <w:vAlign w:val="center"/>
          </w:tcPr>
          <w:p>
            <w:pPr>
              <w:spacing w:line="360" w:lineRule="auto"/>
              <w:jc w:val="center"/>
              <w:rPr>
                <w:rFonts w:ascii="楷体" w:hAnsi="楷体" w:eastAsia="楷体" w:cs="楷体"/>
                <w:sz w:val="24"/>
                <w:szCs w:val="24"/>
              </w:rPr>
            </w:pPr>
            <w:r>
              <w:rPr>
                <w:rFonts w:ascii="楷体" w:hAnsi="楷体" w:eastAsia="楷体" w:cs="楷体"/>
                <w:sz w:val="24"/>
                <w:szCs w:val="24"/>
              </w:rPr>
              <w:t>Q8.7</w:t>
            </w:r>
          </w:p>
        </w:tc>
        <w:tc>
          <w:tcPr>
            <w:tcW w:w="10464" w:type="dxa"/>
            <w:vAlign w:val="center"/>
          </w:tcPr>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提供的《不合格品控制程序》中规定了对不合格品的标识、记录、隔离、记录和处置的控制要求。采购检验中发现的不合格，要求做好相应的标识，并及时通知采购人员作退/换货处理，生产过程和产品检验过程中发现的少量不合格品作返工、返修和报废处理，批量的不合格品要求填写“不合格处理</w:t>
            </w:r>
            <w:r>
              <w:rPr>
                <w:rFonts w:hint="eastAsia" w:ascii="楷体" w:hAnsi="楷体" w:eastAsia="楷体" w:cs="楷体"/>
                <w:sz w:val="24"/>
                <w:szCs w:val="24"/>
                <w:lang w:val="en-US" w:eastAsia="zh-CN"/>
              </w:rPr>
              <w:t>记录</w:t>
            </w:r>
            <w:r>
              <w:rPr>
                <w:rFonts w:hint="eastAsia" w:ascii="楷体" w:hAnsi="楷体" w:eastAsia="楷体" w:cs="楷体"/>
                <w:sz w:val="24"/>
                <w:szCs w:val="24"/>
              </w:rPr>
              <w:t>”，记录</w:t>
            </w:r>
            <w:r>
              <w:rPr>
                <w:rFonts w:hint="eastAsia" w:ascii="楷体" w:hAnsi="楷体" w:eastAsia="楷体" w:cs="楷体"/>
                <w:sz w:val="24"/>
                <w:szCs w:val="24"/>
                <w:lang w:val="en-US" w:eastAsia="zh-CN"/>
              </w:rPr>
              <w:t>日期</w:t>
            </w:r>
            <w:r>
              <w:rPr>
                <w:rFonts w:hint="eastAsia" w:ascii="楷体" w:hAnsi="楷体" w:eastAsia="楷体" w:cs="楷体"/>
                <w:sz w:val="24"/>
                <w:szCs w:val="24"/>
              </w:rPr>
              <w:t>、</w:t>
            </w:r>
            <w:r>
              <w:rPr>
                <w:rFonts w:hint="eastAsia" w:ascii="楷体" w:hAnsi="楷体" w:eastAsia="楷体" w:cs="楷体"/>
                <w:sz w:val="24"/>
                <w:szCs w:val="24"/>
                <w:lang w:val="en-US" w:eastAsia="zh-CN"/>
              </w:rPr>
              <w:t>工序</w:t>
            </w:r>
            <w:r>
              <w:rPr>
                <w:rFonts w:hint="eastAsia" w:ascii="楷体" w:hAnsi="楷体" w:eastAsia="楷体" w:cs="楷体"/>
                <w:sz w:val="24"/>
                <w:szCs w:val="24"/>
              </w:rPr>
              <w:t>、</w:t>
            </w:r>
            <w:r>
              <w:rPr>
                <w:rFonts w:hint="eastAsia" w:ascii="楷体" w:hAnsi="楷体" w:eastAsia="楷体" w:cs="楷体"/>
                <w:sz w:val="24"/>
                <w:szCs w:val="24"/>
                <w:lang w:val="en-US" w:eastAsia="zh-CN"/>
              </w:rPr>
              <w:t>不合格品数量</w:t>
            </w:r>
            <w:r>
              <w:rPr>
                <w:rFonts w:hint="eastAsia" w:ascii="楷体" w:hAnsi="楷体" w:eastAsia="楷体" w:cs="楷体"/>
                <w:sz w:val="24"/>
                <w:szCs w:val="24"/>
              </w:rPr>
              <w:t>数量、</w:t>
            </w:r>
            <w:r>
              <w:rPr>
                <w:rFonts w:hint="eastAsia" w:ascii="楷体" w:hAnsi="楷体" w:eastAsia="楷体" w:cs="楷体"/>
                <w:sz w:val="24"/>
                <w:szCs w:val="24"/>
                <w:lang w:val="en-US" w:eastAsia="zh-CN"/>
              </w:rPr>
              <w:t>处理方法</w:t>
            </w:r>
            <w:r>
              <w:rPr>
                <w:rFonts w:hint="eastAsia" w:ascii="楷体" w:hAnsi="楷体" w:eastAsia="楷体" w:cs="楷体"/>
                <w:sz w:val="24"/>
                <w:szCs w:val="24"/>
              </w:rPr>
              <w:t>等。</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抽20</w:t>
            </w:r>
            <w:r>
              <w:rPr>
                <w:rFonts w:hint="eastAsia" w:ascii="楷体" w:hAnsi="楷体" w:eastAsia="楷体" w:cs="楷体"/>
                <w:sz w:val="24"/>
                <w:szCs w:val="24"/>
                <w:lang w:val="en-US" w:eastAsia="zh-CN"/>
              </w:rPr>
              <w:t>20</w:t>
            </w:r>
            <w:r>
              <w:rPr>
                <w:rFonts w:hint="eastAsia" w:ascii="楷体" w:hAnsi="楷体" w:eastAsia="楷体" w:cs="楷体"/>
                <w:sz w:val="24"/>
                <w:szCs w:val="24"/>
              </w:rPr>
              <w:t>年</w:t>
            </w:r>
            <w:r>
              <w:rPr>
                <w:rFonts w:hint="eastAsia" w:ascii="楷体" w:hAnsi="楷体" w:eastAsia="楷体" w:cs="楷体"/>
                <w:sz w:val="24"/>
                <w:szCs w:val="24"/>
                <w:lang w:val="en-US" w:eastAsia="zh-CN"/>
              </w:rPr>
              <w:t>12</w:t>
            </w:r>
            <w:r>
              <w:rPr>
                <w:rFonts w:hint="eastAsia" w:ascii="楷体" w:hAnsi="楷体" w:eastAsia="楷体" w:cs="楷体"/>
                <w:sz w:val="24"/>
                <w:szCs w:val="24"/>
              </w:rPr>
              <w:t>月“不合格处理</w:t>
            </w:r>
            <w:r>
              <w:rPr>
                <w:rFonts w:hint="eastAsia" w:ascii="楷体" w:hAnsi="楷体" w:eastAsia="楷体" w:cs="楷体"/>
                <w:sz w:val="24"/>
                <w:szCs w:val="24"/>
                <w:lang w:val="en-US" w:eastAsia="zh-CN"/>
              </w:rPr>
              <w:t>记录</w:t>
            </w:r>
            <w:r>
              <w:rPr>
                <w:rFonts w:hint="eastAsia" w:ascii="楷体" w:hAnsi="楷体" w:eastAsia="楷体" w:cs="楷体"/>
                <w:sz w:val="24"/>
                <w:szCs w:val="24"/>
              </w:rPr>
              <w:t>”，不合格品描述：</w:t>
            </w:r>
            <w:r>
              <w:rPr>
                <w:rFonts w:hint="eastAsia" w:ascii="楷体" w:hAnsi="楷体" w:eastAsia="楷体" w:cs="楷体"/>
                <w:sz w:val="24"/>
                <w:szCs w:val="24"/>
                <w:lang w:val="en-US" w:eastAsia="zh-CN"/>
              </w:rPr>
              <w:t>成品</w:t>
            </w:r>
            <w:r>
              <w:rPr>
                <w:rFonts w:hint="eastAsia" w:ascii="楷体" w:hAnsi="楷体" w:eastAsia="楷体" w:cs="楷体"/>
                <w:sz w:val="24"/>
                <w:szCs w:val="24"/>
              </w:rPr>
              <w:t>，数量：1</w:t>
            </w:r>
            <w:r>
              <w:rPr>
                <w:rFonts w:hint="eastAsia" w:ascii="楷体" w:hAnsi="楷体" w:eastAsia="楷体" w:cs="楷体"/>
                <w:sz w:val="24"/>
                <w:szCs w:val="24"/>
                <w:lang w:val="en-US" w:eastAsia="zh-CN"/>
              </w:rPr>
              <w:t>6片</w:t>
            </w:r>
            <w:r>
              <w:rPr>
                <w:rFonts w:hint="eastAsia" w:ascii="楷体" w:hAnsi="楷体" w:eastAsia="楷体" w:cs="楷体"/>
                <w:sz w:val="24"/>
                <w:szCs w:val="24"/>
              </w:rPr>
              <w:t>，不符合原因：</w:t>
            </w:r>
            <w:r>
              <w:rPr>
                <w:rFonts w:hint="eastAsia" w:ascii="楷体" w:hAnsi="楷体" w:eastAsia="楷体" w:cs="楷体"/>
                <w:sz w:val="24"/>
                <w:szCs w:val="24"/>
                <w:lang w:val="en-US" w:eastAsia="zh-CN"/>
              </w:rPr>
              <w:t>缝纫不符合要求</w:t>
            </w:r>
            <w:r>
              <w:rPr>
                <w:rFonts w:hint="eastAsia" w:ascii="楷体" w:hAnsi="楷体" w:eastAsia="楷体" w:cs="楷体"/>
                <w:sz w:val="24"/>
                <w:szCs w:val="24"/>
              </w:rPr>
              <w:t>，处理意见：</w:t>
            </w:r>
            <w:r>
              <w:rPr>
                <w:rFonts w:hint="eastAsia" w:ascii="楷体" w:hAnsi="楷体" w:eastAsia="楷体" w:cs="楷体"/>
                <w:sz w:val="24"/>
                <w:szCs w:val="24"/>
                <w:lang w:val="en-US" w:eastAsia="zh-CN"/>
              </w:rPr>
              <w:t>当场返工</w:t>
            </w:r>
            <w:r>
              <w:rPr>
                <w:rFonts w:hint="eastAsia" w:ascii="楷体" w:hAnsi="楷体" w:eastAsia="楷体" w:cs="楷体"/>
                <w:sz w:val="24"/>
                <w:szCs w:val="24"/>
              </w:rPr>
              <w:t>，</w:t>
            </w:r>
            <w:r>
              <w:rPr>
                <w:rFonts w:hint="eastAsia" w:ascii="楷体" w:hAnsi="楷体" w:eastAsia="楷体" w:cs="楷体"/>
                <w:sz w:val="24"/>
                <w:szCs w:val="24"/>
                <w:lang w:val="en-US" w:eastAsia="zh-CN"/>
              </w:rPr>
              <w:t>检验人：吴翠兰，审核：史淑梅</w:t>
            </w:r>
            <w:r>
              <w:rPr>
                <w:rFonts w:hint="eastAsia" w:ascii="楷体" w:hAnsi="楷体" w:eastAsia="楷体" w:cs="楷体"/>
                <w:sz w:val="24"/>
                <w:szCs w:val="24"/>
              </w:rPr>
              <w:t>。</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1" w:hRule="atLeast"/>
        </w:trPr>
        <w:tc>
          <w:tcPr>
            <w:tcW w:w="1384" w:type="dxa"/>
          </w:tcPr>
          <w:p>
            <w:pPr>
              <w:spacing w:line="360" w:lineRule="auto"/>
              <w:rPr>
                <w:rFonts w:ascii="楷体" w:hAnsi="楷体" w:eastAsia="楷体"/>
                <w:bCs/>
                <w:sz w:val="24"/>
                <w:szCs w:val="24"/>
              </w:rPr>
            </w:pPr>
            <w:r>
              <w:rPr>
                <w:rFonts w:hint="eastAsia" w:ascii="楷体" w:hAnsi="楷体" w:eastAsia="楷体"/>
                <w:bCs/>
                <w:sz w:val="24"/>
                <w:szCs w:val="24"/>
              </w:rPr>
              <w:t>环境因素</w:t>
            </w:r>
          </w:p>
          <w:p>
            <w:pPr>
              <w:spacing w:line="360" w:lineRule="auto"/>
              <w:rPr>
                <w:rFonts w:ascii="楷体" w:hAnsi="楷体" w:eastAsia="楷体" w:cs="宋体"/>
                <w:sz w:val="24"/>
                <w:szCs w:val="24"/>
              </w:rPr>
            </w:pPr>
            <w:r>
              <w:rPr>
                <w:rFonts w:hint="eastAsia" w:ascii="楷体" w:hAnsi="楷体" w:eastAsia="楷体"/>
                <w:bCs/>
                <w:sz w:val="24"/>
                <w:szCs w:val="24"/>
              </w:rPr>
              <w:t>危险源</w:t>
            </w:r>
          </w:p>
        </w:tc>
        <w:tc>
          <w:tcPr>
            <w:tcW w:w="1276" w:type="dxa"/>
          </w:tcPr>
          <w:p>
            <w:pPr>
              <w:spacing w:line="360" w:lineRule="auto"/>
              <w:rPr>
                <w:rFonts w:ascii="楷体" w:hAnsi="楷体" w:eastAsia="楷体" w:cs="宋体"/>
                <w:sz w:val="24"/>
                <w:szCs w:val="24"/>
              </w:rPr>
            </w:pPr>
            <w:r>
              <w:rPr>
                <w:rFonts w:hint="eastAsia" w:ascii="楷体" w:hAnsi="楷体" w:eastAsia="楷体"/>
                <w:bCs/>
                <w:sz w:val="24"/>
                <w:szCs w:val="24"/>
              </w:rPr>
              <w:t>EO6.1.2</w:t>
            </w:r>
          </w:p>
        </w:tc>
        <w:tc>
          <w:tcPr>
            <w:tcW w:w="10464" w:type="dxa"/>
          </w:tcPr>
          <w:p>
            <w:pPr>
              <w:snapToGrid w:val="0"/>
              <w:spacing w:line="360" w:lineRule="auto"/>
              <w:ind w:firstLine="480" w:firstLineChars="200"/>
              <w:rPr>
                <w:rFonts w:ascii="楷体" w:hAnsi="楷体" w:eastAsia="楷体"/>
                <w:sz w:val="24"/>
                <w:szCs w:val="24"/>
              </w:rPr>
            </w:pPr>
            <w:r>
              <w:rPr>
                <w:rFonts w:hint="eastAsia" w:ascii="楷体" w:hAnsi="楷体" w:eastAsia="楷体"/>
                <w:sz w:val="24"/>
                <w:szCs w:val="24"/>
              </w:rPr>
              <w:t>提供</w:t>
            </w:r>
            <w:r>
              <w:rPr>
                <w:rFonts w:hint="eastAsia" w:ascii="楷体" w:hAnsi="楷体" w:eastAsia="楷体" w:cs="宋体"/>
                <w:sz w:val="24"/>
                <w:szCs w:val="24"/>
              </w:rPr>
              <w:t>了</w:t>
            </w:r>
            <w:r>
              <w:rPr>
                <w:rFonts w:hint="eastAsia" w:ascii="楷体" w:hAnsi="楷体" w:eastAsia="楷体" w:cs="楷体"/>
                <w:sz w:val="24"/>
                <w:szCs w:val="24"/>
              </w:rPr>
              <w:t>环境因素和危险源识别评价与控制程序</w:t>
            </w:r>
            <w:r>
              <w:rPr>
                <w:rFonts w:hint="eastAsia" w:ascii="楷体" w:hAnsi="楷体" w:eastAsia="楷体" w:cs="宋体"/>
                <w:sz w:val="24"/>
                <w:szCs w:val="24"/>
              </w:rPr>
              <w:t>，对环境因素、危险源的识别、评价结果、控制手段等做出了</w:t>
            </w:r>
            <w:r>
              <w:rPr>
                <w:rFonts w:hint="eastAsia" w:ascii="楷体" w:hAnsi="楷体" w:eastAsia="楷体"/>
                <w:sz w:val="24"/>
                <w:szCs w:val="24"/>
              </w:rPr>
              <w:t>规定。</w:t>
            </w:r>
          </w:p>
          <w:p>
            <w:pPr>
              <w:snapToGrid w:val="0"/>
              <w:spacing w:line="360" w:lineRule="auto"/>
              <w:ind w:right="392" w:firstLine="480" w:firstLineChars="200"/>
              <w:rPr>
                <w:rFonts w:ascii="楷体" w:hAnsi="楷体" w:eastAsia="楷体"/>
                <w:sz w:val="24"/>
                <w:szCs w:val="24"/>
              </w:rPr>
            </w:pPr>
            <w:r>
              <w:rPr>
                <w:rFonts w:hint="eastAsia" w:ascii="楷体" w:hAnsi="楷体" w:eastAsia="楷体" w:cs="宋体"/>
                <w:color w:val="000000"/>
                <w:sz w:val="24"/>
                <w:szCs w:val="24"/>
              </w:rPr>
              <w:t>部门负责人</w:t>
            </w:r>
            <w:r>
              <w:rPr>
                <w:rFonts w:hint="eastAsia" w:ascii="楷体" w:hAnsi="楷体" w:eastAsia="楷体" w:cs="宋体"/>
                <w:sz w:val="24"/>
                <w:szCs w:val="24"/>
              </w:rPr>
              <w:t>介绍了对环境因素、危险源进行了辨识，考虑了三种时态，过去、现在和将来，三种状态，正常、异常和紧急</w:t>
            </w:r>
            <w:r>
              <w:rPr>
                <w:rFonts w:hint="eastAsia" w:ascii="楷体" w:hAnsi="楷体" w:eastAsia="楷体"/>
                <w:sz w:val="24"/>
                <w:szCs w:val="24"/>
              </w:rPr>
              <w:t>。</w:t>
            </w:r>
          </w:p>
          <w:p>
            <w:pPr>
              <w:snapToGrid w:val="0"/>
              <w:spacing w:line="360" w:lineRule="auto"/>
              <w:ind w:right="392" w:firstLine="480" w:firstLineChars="200"/>
              <w:rPr>
                <w:rFonts w:ascii="楷体" w:hAnsi="楷体" w:eastAsia="楷体"/>
                <w:sz w:val="24"/>
                <w:szCs w:val="24"/>
              </w:rPr>
            </w:pPr>
            <w:r>
              <w:rPr>
                <w:rFonts w:hint="eastAsia" w:ascii="楷体" w:hAnsi="楷体" w:eastAsia="楷体"/>
                <w:sz w:val="24"/>
                <w:szCs w:val="24"/>
              </w:rPr>
              <w:t>现场提供了“环境因素登记及评价表”，识别了办公过程的废纸排放、生活垃圾排放、生产过程中噪音排放、废气排放、固废排放、火灾、能源消耗等，识别基本齐全。</w:t>
            </w:r>
          </w:p>
          <w:p>
            <w:pPr>
              <w:snapToGrid w:val="0"/>
              <w:spacing w:line="360" w:lineRule="auto"/>
              <w:ind w:right="392" w:firstLine="480" w:firstLineChars="200"/>
              <w:rPr>
                <w:rFonts w:ascii="楷体" w:hAnsi="楷体" w:eastAsia="楷体"/>
                <w:sz w:val="24"/>
                <w:szCs w:val="24"/>
              </w:rPr>
            </w:pPr>
            <w:r>
              <w:rPr>
                <w:rFonts w:hint="eastAsia" w:ascii="楷体" w:hAnsi="楷体" w:eastAsia="楷体"/>
                <w:sz w:val="24"/>
                <w:szCs w:val="24"/>
              </w:rPr>
              <w:t>评价出</w:t>
            </w:r>
            <w:r>
              <w:rPr>
                <w:rFonts w:hint="eastAsia" w:ascii="楷体" w:hAnsi="楷体" w:eastAsia="楷体" w:cs="楷体"/>
                <w:b w:val="0"/>
                <w:bCs w:val="0"/>
                <w:sz w:val="24"/>
                <w:szCs w:val="24"/>
                <w:lang w:val="en-US" w:eastAsia="zh-CN"/>
              </w:rPr>
              <w:t>化纤包装厂</w:t>
            </w:r>
            <w:r>
              <w:rPr>
                <w:rFonts w:hint="eastAsia" w:ascii="楷体" w:hAnsi="楷体" w:eastAsia="楷体"/>
                <w:sz w:val="24"/>
                <w:szCs w:val="24"/>
              </w:rPr>
              <w:t>的重要环境因素为：固废排放、火灾发生等。</w:t>
            </w:r>
          </w:p>
          <w:p>
            <w:pPr>
              <w:snapToGrid w:val="0"/>
              <w:spacing w:line="360" w:lineRule="auto"/>
              <w:ind w:right="392" w:firstLine="480" w:firstLineChars="200"/>
              <w:rPr>
                <w:rFonts w:ascii="楷体" w:hAnsi="楷体" w:eastAsia="楷体" w:cs="宋体"/>
                <w:sz w:val="24"/>
                <w:szCs w:val="24"/>
              </w:rPr>
            </w:pPr>
            <w:r>
              <w:rPr>
                <w:rFonts w:hint="eastAsia" w:ascii="楷体" w:hAnsi="楷体" w:eastAsia="楷体"/>
                <w:sz w:val="24"/>
                <w:szCs w:val="24"/>
              </w:rPr>
              <w:t>通过运行控制、除尘设施、管理方案、培训教育、应急预案等对重大环境因素实施控制，基本适宜，具体见E8.1条款</w:t>
            </w:r>
            <w:r>
              <w:rPr>
                <w:rFonts w:hint="eastAsia" w:ascii="楷体" w:hAnsi="楷体" w:eastAsia="楷体" w:cs="宋体"/>
                <w:sz w:val="24"/>
                <w:szCs w:val="24"/>
              </w:rPr>
              <w:t>。</w:t>
            </w:r>
          </w:p>
          <w:p>
            <w:pPr>
              <w:spacing w:line="360" w:lineRule="auto"/>
              <w:ind w:firstLine="480" w:firstLineChars="200"/>
              <w:rPr>
                <w:rFonts w:ascii="楷体" w:hAnsi="楷体" w:eastAsia="楷体"/>
                <w:sz w:val="24"/>
                <w:szCs w:val="24"/>
              </w:rPr>
            </w:pPr>
            <w:r>
              <w:rPr>
                <w:rFonts w:hint="eastAsia" w:ascii="楷体" w:hAnsi="楷体" w:eastAsia="楷体"/>
                <w:sz w:val="24"/>
                <w:szCs w:val="24"/>
              </w:rPr>
              <w:t>提供“危险源风险评价表”对部门生产办公活动各过程分别进行辨识，考虑了</w:t>
            </w:r>
            <w:r>
              <w:rPr>
                <w:rFonts w:hint="eastAsia" w:ascii="楷体" w:hAnsi="楷体" w:eastAsia="楷体" w:cs="楷体"/>
                <w:sz w:val="24"/>
                <w:szCs w:val="24"/>
              </w:rPr>
              <w:t>塑料编织袋（食品包装用除外），塑料集装袋、塑料打包带的</w:t>
            </w:r>
            <w:r>
              <w:rPr>
                <w:rFonts w:hint="eastAsia" w:ascii="楷体" w:hAnsi="楷体" w:eastAsia="楷体"/>
                <w:sz w:val="24"/>
                <w:szCs w:val="24"/>
              </w:rPr>
              <w:t>生产过程的特点。</w:t>
            </w:r>
          </w:p>
          <w:p>
            <w:pPr>
              <w:spacing w:line="360" w:lineRule="auto"/>
              <w:ind w:firstLine="480" w:firstLineChars="200"/>
              <w:rPr>
                <w:rFonts w:ascii="楷体" w:hAnsi="楷体" w:eastAsia="楷体"/>
                <w:sz w:val="24"/>
                <w:szCs w:val="24"/>
              </w:rPr>
            </w:pPr>
            <w:r>
              <w:rPr>
                <w:rFonts w:hint="eastAsia" w:ascii="楷体" w:hAnsi="楷体" w:eastAsia="楷体" w:cs="楷体"/>
                <w:b w:val="0"/>
                <w:bCs w:val="0"/>
                <w:sz w:val="24"/>
                <w:szCs w:val="24"/>
                <w:lang w:val="en-US" w:eastAsia="zh-CN"/>
              </w:rPr>
              <w:t>化纤包装厂</w:t>
            </w:r>
            <w:r>
              <w:rPr>
                <w:rFonts w:hint="eastAsia" w:ascii="楷体" w:hAnsi="楷体" w:eastAsia="楷体"/>
                <w:sz w:val="24"/>
                <w:szCs w:val="24"/>
              </w:rPr>
              <w:t>识别的危险源主要有：触电、中暑、尘肺病、机械伤害、火灾事故等。</w:t>
            </w:r>
          </w:p>
          <w:p>
            <w:pPr>
              <w:spacing w:line="360" w:lineRule="auto"/>
              <w:ind w:firstLine="480" w:firstLineChars="200"/>
              <w:rPr>
                <w:rFonts w:ascii="楷体" w:hAnsi="楷体" w:eastAsia="楷体"/>
                <w:sz w:val="24"/>
                <w:szCs w:val="24"/>
              </w:rPr>
            </w:pPr>
            <w:r>
              <w:rPr>
                <w:rFonts w:hint="eastAsia" w:ascii="楷体" w:hAnsi="楷体" w:eastAsia="楷体"/>
                <w:sz w:val="24"/>
                <w:szCs w:val="24"/>
              </w:rPr>
              <w:t>重大危险源识别有：火灾、触电、粉尘伤害、</w:t>
            </w:r>
            <w:r>
              <w:rPr>
                <w:rFonts w:ascii="楷体" w:hAnsi="楷体" w:eastAsia="楷体"/>
                <w:sz w:val="24"/>
                <w:szCs w:val="24"/>
              </w:rPr>
              <w:t>高温灼伤</w:t>
            </w:r>
            <w:r>
              <w:rPr>
                <w:rFonts w:hint="eastAsia" w:ascii="楷体" w:hAnsi="楷体" w:eastAsia="楷体"/>
                <w:sz w:val="24"/>
                <w:szCs w:val="24"/>
              </w:rPr>
              <w:t>等。</w:t>
            </w:r>
          </w:p>
          <w:p>
            <w:pPr>
              <w:pStyle w:val="4"/>
              <w:pBdr>
                <w:bottom w:val="none" w:color="auto" w:sz="0" w:space="0"/>
              </w:pBdr>
              <w:tabs>
                <w:tab w:val="center" w:pos="5737"/>
                <w:tab w:val="clear" w:pos="4153"/>
              </w:tabs>
              <w:ind w:firstLine="480" w:firstLineChars="200"/>
              <w:jc w:val="left"/>
              <w:rPr>
                <w:rFonts w:ascii="楷体" w:hAnsi="楷体" w:eastAsia="楷体"/>
                <w:sz w:val="24"/>
                <w:szCs w:val="24"/>
              </w:rPr>
            </w:pPr>
            <w:r>
              <w:rPr>
                <w:rFonts w:hint="eastAsia" w:ascii="楷体" w:hAnsi="楷体" w:eastAsia="楷体"/>
                <w:sz w:val="24"/>
                <w:szCs w:val="24"/>
              </w:rPr>
              <w:t>危险源识别经核实基本齐全，重大危险源评价基本合理。</w:t>
            </w:r>
          </w:p>
          <w:p>
            <w:pPr>
              <w:spacing w:line="360" w:lineRule="auto"/>
              <w:ind w:firstLine="480" w:firstLineChars="200"/>
              <w:rPr>
                <w:rFonts w:ascii="楷体" w:hAnsi="楷体" w:eastAsia="楷体" w:cs="宋体"/>
                <w:sz w:val="24"/>
                <w:szCs w:val="24"/>
              </w:rPr>
            </w:pPr>
            <w:r>
              <w:rPr>
                <w:rFonts w:hint="eastAsia" w:ascii="楷体" w:hAnsi="楷体" w:eastAsia="楷体"/>
                <w:sz w:val="24"/>
                <w:szCs w:val="24"/>
              </w:rPr>
              <w:t>通过运行控制、管理制度、劳动防护用品、培训教育、应急预案等对重大危险源实施控制，基本适宜，具体见O8.1条款。</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384" w:type="dxa"/>
          </w:tcPr>
          <w:p>
            <w:pPr>
              <w:spacing w:line="360" w:lineRule="auto"/>
              <w:rPr>
                <w:rFonts w:ascii="楷体" w:hAnsi="楷体" w:eastAsia="楷体" w:cs="宋体"/>
                <w:sz w:val="24"/>
                <w:szCs w:val="24"/>
              </w:rPr>
            </w:pPr>
            <w:r>
              <w:rPr>
                <w:rFonts w:hint="eastAsia" w:ascii="楷体" w:hAnsi="楷体" w:eastAsia="楷体"/>
                <w:bCs/>
                <w:sz w:val="24"/>
                <w:szCs w:val="24"/>
              </w:rPr>
              <w:t>运行控制</w:t>
            </w:r>
          </w:p>
        </w:tc>
        <w:tc>
          <w:tcPr>
            <w:tcW w:w="1276" w:type="dxa"/>
          </w:tcPr>
          <w:p>
            <w:pPr>
              <w:spacing w:line="360" w:lineRule="auto"/>
              <w:rPr>
                <w:rFonts w:ascii="楷体" w:hAnsi="楷体" w:eastAsia="楷体" w:cs="宋体"/>
                <w:sz w:val="24"/>
                <w:szCs w:val="24"/>
              </w:rPr>
            </w:pPr>
            <w:r>
              <w:rPr>
                <w:rFonts w:hint="eastAsia" w:ascii="楷体" w:hAnsi="楷体" w:eastAsia="楷体"/>
                <w:bCs/>
                <w:sz w:val="24"/>
                <w:szCs w:val="24"/>
              </w:rPr>
              <w:t>EO8.1</w:t>
            </w:r>
          </w:p>
        </w:tc>
        <w:tc>
          <w:tcPr>
            <w:tcW w:w="10464" w:type="dxa"/>
          </w:tcPr>
          <w:p>
            <w:pPr>
              <w:spacing w:line="360" w:lineRule="auto"/>
              <w:ind w:firstLine="421"/>
              <w:rPr>
                <w:rFonts w:ascii="楷体" w:hAnsi="楷体" w:eastAsia="楷体" w:cs="宋体"/>
                <w:sz w:val="24"/>
                <w:szCs w:val="24"/>
              </w:rPr>
            </w:pPr>
            <w:r>
              <w:rPr>
                <w:rFonts w:hint="eastAsia" w:ascii="楷体" w:hAnsi="楷体" w:eastAsia="楷体" w:cs="宋体"/>
                <w:sz w:val="24"/>
                <w:szCs w:val="24"/>
              </w:rPr>
              <w:t>编制与环境、安全体系运行控制有关的文件有</w:t>
            </w:r>
            <w:r>
              <w:rPr>
                <w:rFonts w:hint="eastAsia" w:ascii="楷体" w:hAnsi="楷体" w:eastAsia="楷体" w:cs="楷体"/>
                <w:sz w:val="24"/>
                <w:szCs w:val="24"/>
              </w:rPr>
              <w:t>运行控制程序、废弃物控制程序、噪声控制程序、消防控制程序、劳动防护用品控制程序、资源能源控制程序、应急准备和响应控制程序、生产生活固废垃圾处理/利用作业指导书、员工职业健康及劳动保护管理规定、应急预案</w:t>
            </w:r>
            <w:r>
              <w:rPr>
                <w:rFonts w:hint="eastAsia" w:ascii="楷体" w:hAnsi="楷体" w:eastAsia="楷体" w:cs="宋体"/>
                <w:sz w:val="24"/>
                <w:szCs w:val="24"/>
              </w:rPr>
              <w:t>等。</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1、废水管控：</w:t>
            </w:r>
          </w:p>
          <w:p>
            <w:pPr>
              <w:spacing w:line="360" w:lineRule="auto"/>
              <w:ind w:firstLine="480" w:firstLineChars="200"/>
              <w:rPr>
                <w:rFonts w:ascii="楷体" w:hAnsi="楷体" w:eastAsia="楷体" w:cs="宋体"/>
                <w:sz w:val="24"/>
                <w:szCs w:val="24"/>
              </w:rPr>
            </w:pPr>
            <w:r>
              <w:rPr>
                <w:rFonts w:hint="eastAsia" w:ascii="楷体" w:hAnsi="楷体" w:eastAsia="楷体"/>
                <w:sz w:val="24"/>
                <w:szCs w:val="24"/>
              </w:rPr>
              <w:t>企业无工业废水，生活废水经化粪池处理后排入</w:t>
            </w:r>
            <w:r>
              <w:rPr>
                <w:rFonts w:hint="eastAsia" w:ascii="楷体" w:hAnsi="楷体" w:eastAsia="楷体"/>
                <w:sz w:val="24"/>
                <w:szCs w:val="24"/>
                <w:lang w:val="en-US" w:eastAsia="zh-CN"/>
              </w:rPr>
              <w:t>安庆石化</w:t>
            </w:r>
            <w:r>
              <w:rPr>
                <w:rFonts w:hint="eastAsia" w:ascii="楷体" w:hAnsi="楷体" w:eastAsia="楷体"/>
                <w:sz w:val="24"/>
                <w:szCs w:val="24"/>
              </w:rPr>
              <w:t>内污水管网统一处理。</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2、废气管控：</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主要是混料过程的废气，混料过程在混料机上部安装集尘罩收集废气通过管道抽到布袋除尘器处理然后经15m高排气筒排放。挤出过程在挤出机上部安装集尘罩收集废气通过管道抽到光催化氧化+活性炭吸附处理设施，然后经15m高排气筒排放，混料工序操作工戴口罩。</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3、噪声管控：</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生产过程在</w:t>
            </w:r>
            <w:r>
              <w:rPr>
                <w:rFonts w:hint="eastAsia" w:ascii="楷体" w:hAnsi="楷体" w:eastAsia="楷体" w:cs="宋体"/>
                <w:sz w:val="24"/>
                <w:szCs w:val="24"/>
                <w:lang w:val="en-US" w:eastAsia="zh-CN"/>
              </w:rPr>
              <w:t>搅拌</w:t>
            </w:r>
            <w:r>
              <w:rPr>
                <w:rFonts w:hint="eastAsia" w:ascii="楷体" w:hAnsi="楷体" w:eastAsia="楷体" w:cs="宋体"/>
                <w:sz w:val="24"/>
                <w:szCs w:val="24"/>
              </w:rPr>
              <w:t>、混料、</w:t>
            </w:r>
            <w:r>
              <w:rPr>
                <w:rFonts w:hint="eastAsia" w:ascii="楷体" w:hAnsi="楷体" w:eastAsia="楷体" w:cs="宋体"/>
                <w:sz w:val="24"/>
                <w:szCs w:val="24"/>
                <w:lang w:val="en-US" w:eastAsia="zh-CN"/>
              </w:rPr>
              <w:t>裁剪</w:t>
            </w:r>
            <w:r>
              <w:rPr>
                <w:rFonts w:hint="eastAsia" w:ascii="楷体" w:hAnsi="楷体" w:eastAsia="楷体" w:cs="宋体"/>
                <w:sz w:val="24"/>
                <w:szCs w:val="24"/>
              </w:rPr>
              <w:t>等工序产生噪声，采取厂房内操作和选用低噪声的设备和工具，同时加强设备的检查和维保，确保机械设备在正常工况下运行，其他工序基本无噪声，粉碎高噪声设备操作工戴耳塞。</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4、固废管控：</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生产过程中主要为</w:t>
            </w:r>
            <w:r>
              <w:rPr>
                <w:rFonts w:hint="eastAsia" w:ascii="楷体" w:hAnsi="楷体" w:eastAsia="楷体" w:cs="宋体"/>
                <w:sz w:val="24"/>
                <w:szCs w:val="24"/>
                <w:lang w:val="en-US" w:eastAsia="zh-CN"/>
              </w:rPr>
              <w:t>裁剪</w:t>
            </w:r>
            <w:r>
              <w:rPr>
                <w:rFonts w:hint="eastAsia" w:ascii="楷体" w:hAnsi="楷体" w:eastAsia="楷体" w:cs="宋体"/>
                <w:sz w:val="24"/>
                <w:szCs w:val="24"/>
              </w:rPr>
              <w:t>过程产生废边角余料、集尘器收集的废屑粉尘，集中收集外售；不合格品粉碎后再利用；生活垃圾由当地环卫所清运处理，公司缴纳处理费。</w:t>
            </w:r>
          </w:p>
          <w:p>
            <w:pPr>
              <w:numPr>
                <w:ilvl w:val="0"/>
                <w:numId w:val="3"/>
              </w:numPr>
              <w:spacing w:line="360" w:lineRule="auto"/>
              <w:ind w:firstLine="421"/>
              <w:rPr>
                <w:rFonts w:ascii="楷体" w:hAnsi="楷体" w:eastAsia="楷体" w:cs="宋体"/>
                <w:sz w:val="24"/>
                <w:szCs w:val="24"/>
              </w:rPr>
            </w:pPr>
            <w:r>
              <w:rPr>
                <w:rFonts w:hint="eastAsia" w:ascii="楷体" w:hAnsi="楷体" w:eastAsia="楷体" w:cs="宋体"/>
                <w:sz w:val="24"/>
                <w:szCs w:val="24"/>
              </w:rPr>
              <w:t>能源资源管控：</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生产过程注意节水、节电、节约塑料材料，人走关闭设备和照明开关，现场未发现有漏水和浪费电能的现象。</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6、产品生命周期的环境管控：</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公司从工艺设计和采购产品时已考虑了产品的环保性，生产过程中，严格按照环保等管理制度实施，控制好辅助材料的用量，避免浪费，生命周期终了时塑料还可以回收再利用。</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7、潜在火灾管控：</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公司生产车间和办公区域配备了灭火器、消防栓，均符合要求。</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8、安全防护：</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公司给员工发放手套、口罩、耳塞、工作服等劳保用品。</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9、能提供防止员工意外伤害加重的急救药品如创可贴、杀菌药水等。</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10、为主要长期员工上社保，查见了交款证明。</w:t>
            </w:r>
          </w:p>
          <w:p>
            <w:pPr>
              <w:spacing w:line="360" w:lineRule="auto"/>
              <w:ind w:firstLine="421"/>
              <w:rPr>
                <w:rFonts w:ascii="楷体" w:hAnsi="楷体" w:eastAsia="楷体"/>
                <w:sz w:val="24"/>
                <w:szCs w:val="24"/>
              </w:rPr>
            </w:pPr>
            <w:r>
              <w:rPr>
                <w:rFonts w:hint="eastAsia" w:ascii="楷体" w:hAnsi="楷体" w:eastAsia="楷体" w:cs="宋体"/>
                <w:sz w:val="24"/>
                <w:szCs w:val="24"/>
              </w:rPr>
              <w:t>11、为环境和职业健康安全管理体系运行提供了财务支持，见办公室审核记录</w:t>
            </w:r>
            <w:r>
              <w:rPr>
                <w:rFonts w:hint="eastAsia" w:ascii="楷体" w:hAnsi="楷体" w:eastAsia="楷体"/>
                <w:sz w:val="24"/>
                <w:szCs w:val="24"/>
              </w:rPr>
              <w:t>。</w:t>
            </w:r>
          </w:p>
          <w:p>
            <w:pPr>
              <w:spacing w:line="360" w:lineRule="auto"/>
              <w:ind w:firstLine="480" w:firstLineChars="200"/>
              <w:rPr>
                <w:rFonts w:ascii="楷体" w:hAnsi="楷体" w:eastAsia="楷体" w:cs="宋体"/>
                <w:sz w:val="24"/>
                <w:szCs w:val="24"/>
              </w:rPr>
            </w:pPr>
            <w:r>
              <w:rPr>
                <w:rFonts w:hint="eastAsia" w:ascii="楷体" w:hAnsi="楷体" w:eastAsia="楷体" w:cs="楷体"/>
                <w:sz w:val="24"/>
                <w:szCs w:val="24"/>
              </w:rPr>
              <w:t>12</w:t>
            </w:r>
            <w:r>
              <w:rPr>
                <w:rFonts w:hint="eastAsia" w:ascii="楷体" w:hAnsi="楷体" w:eastAsia="楷体" w:cs="宋体"/>
                <w:sz w:val="24"/>
                <w:szCs w:val="24"/>
              </w:rPr>
              <w:t>、员工饮用水为纯净水通过饮水机饮用。</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13、现场运行控制：</w:t>
            </w:r>
          </w:p>
          <w:p>
            <w:pPr>
              <w:spacing w:line="360" w:lineRule="auto"/>
              <w:ind w:firstLine="480" w:firstLineChars="200"/>
              <w:rPr>
                <w:rFonts w:ascii="楷体" w:hAnsi="楷体" w:eastAsia="楷体" w:cs="Arial"/>
                <w:sz w:val="24"/>
                <w:szCs w:val="24"/>
              </w:rPr>
            </w:pPr>
            <w:r>
              <w:rPr>
                <w:rFonts w:hint="eastAsia" w:ascii="楷体" w:hAnsi="楷体" w:eastAsia="楷体" w:cs="Arial"/>
                <w:sz w:val="24"/>
                <w:szCs w:val="24"/>
              </w:rPr>
              <w:t>现场巡视办公及生产区域配备有灭火器和消防栓多个，各车间均配有灭火器。</w:t>
            </w:r>
          </w:p>
          <w:p>
            <w:pPr>
              <w:spacing w:line="360" w:lineRule="auto"/>
              <w:ind w:firstLine="360" w:firstLineChars="150"/>
              <w:rPr>
                <w:rFonts w:ascii="楷体" w:hAnsi="楷体" w:eastAsia="楷体"/>
                <w:sz w:val="24"/>
                <w:szCs w:val="24"/>
              </w:rPr>
            </w:pPr>
            <w:r>
              <w:rPr>
                <w:rFonts w:hint="eastAsia" w:ascii="楷体" w:hAnsi="楷体" w:eastAsia="楷体"/>
                <w:sz w:val="24"/>
                <w:szCs w:val="24"/>
              </w:rPr>
              <w:t>现场查看各工序设备运转正常，人员操作方法合理，并佩带相应的防护措施，如耳塞、口罩、手套等。操作人员穿戴有工作衣、工作鞋等安全防护用品。</w:t>
            </w:r>
          </w:p>
          <w:p>
            <w:pPr>
              <w:spacing w:line="360" w:lineRule="auto"/>
              <w:ind w:firstLine="360" w:firstLineChars="150"/>
              <w:rPr>
                <w:rFonts w:ascii="楷体" w:hAnsi="楷体" w:eastAsia="楷体"/>
                <w:sz w:val="24"/>
                <w:szCs w:val="24"/>
              </w:rPr>
            </w:pPr>
            <w:r>
              <w:rPr>
                <w:rFonts w:hint="eastAsia" w:ascii="楷体" w:hAnsi="楷体" w:eastAsia="楷体"/>
                <w:sz w:val="24"/>
                <w:szCs w:val="24"/>
              </w:rPr>
              <w:t>各车间安全设施设有提示说明，方便取用，未发现遮挡消防设施和挤占消防通道的情况。</w:t>
            </w:r>
          </w:p>
          <w:p>
            <w:pPr>
              <w:autoSpaceDE w:val="0"/>
              <w:autoSpaceDN w:val="0"/>
              <w:adjustRightInd w:val="0"/>
              <w:spacing w:line="360" w:lineRule="auto"/>
              <w:ind w:firstLine="360" w:firstLineChars="150"/>
              <w:rPr>
                <w:rFonts w:hint="eastAsia" w:ascii="楷体" w:hAnsi="楷体" w:eastAsia="楷体" w:cs="楷体"/>
                <w:sz w:val="24"/>
                <w:szCs w:val="24"/>
              </w:rPr>
            </w:pPr>
            <w:r>
              <w:rPr>
                <w:rFonts w:ascii="楷体" w:hAnsi="楷体" w:eastAsia="楷体"/>
                <w:sz w:val="24"/>
                <w:szCs w:val="24"/>
              </w:rPr>
              <w:t>混料车间有安全操作规程和职业危害告知卡</w:t>
            </w:r>
            <w:r>
              <w:rPr>
                <w:rFonts w:hint="eastAsia" w:ascii="楷体" w:hAnsi="楷体" w:eastAsia="楷体"/>
                <w:sz w:val="24"/>
                <w:szCs w:val="24"/>
              </w:rPr>
              <w:t>，</w:t>
            </w:r>
            <w:r>
              <w:rPr>
                <w:rFonts w:ascii="楷体" w:hAnsi="楷体" w:eastAsia="楷体"/>
                <w:sz w:val="24"/>
                <w:szCs w:val="24"/>
              </w:rPr>
              <w:t>对粉尘伤害和噪声伤害进行了告知</w:t>
            </w:r>
            <w:r>
              <w:rPr>
                <w:rFonts w:hint="eastAsia" w:ascii="楷体" w:hAnsi="楷体" w:eastAsia="楷体"/>
                <w:sz w:val="24"/>
                <w:szCs w:val="24"/>
              </w:rPr>
              <w:t>，</w:t>
            </w:r>
            <w:r>
              <w:rPr>
                <w:rFonts w:hint="eastAsia" w:ascii="楷体" w:hAnsi="楷体" w:eastAsia="楷体" w:cs="楷体"/>
                <w:sz w:val="24"/>
                <w:szCs w:val="24"/>
              </w:rPr>
              <w:t>设备有防护罩，现场操作人员配戴耳塞，口罩，搬运人员配戴线手套，穿着工作服。混料机上部有集尘抽风系统经布袋除尘器处理后15米高空排放，查看布袋除尘器运转正常，废的颗粒包装袋集中堆放，但是</w:t>
            </w:r>
            <w:r>
              <w:rPr>
                <w:rFonts w:hint="eastAsia" w:ascii="楷体" w:hAnsi="楷体" w:eastAsia="楷体" w:cs="楷体"/>
                <w:sz w:val="24"/>
                <w:szCs w:val="24"/>
                <w:lang w:eastAsia="zh-CN"/>
              </w:rPr>
              <w:drawing>
                <wp:anchor distT="0" distB="0" distL="114300" distR="114300" simplePos="0" relativeHeight="251669504" behindDoc="0" locked="0" layoutInCell="1" allowOverlap="1">
                  <wp:simplePos x="0" y="0"/>
                  <wp:positionH relativeFrom="column">
                    <wp:posOffset>3054350</wp:posOffset>
                  </wp:positionH>
                  <wp:positionV relativeFrom="paragraph">
                    <wp:posOffset>269875</wp:posOffset>
                  </wp:positionV>
                  <wp:extent cx="2832735" cy="2124710"/>
                  <wp:effectExtent l="0" t="0" r="12065" b="8890"/>
                  <wp:wrapNone/>
                  <wp:docPr id="33" name="图片 33" descr="959a137ca64d94c9fe025e2ae83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959a137ca64d94c9fe025e2ae833032"/>
                          <pic:cNvPicPr>
                            <a:picLocks noChangeAspect="1"/>
                          </pic:cNvPicPr>
                        </pic:nvPicPr>
                        <pic:blipFill>
                          <a:blip r:embed="rId24"/>
                          <a:stretch>
                            <a:fillRect/>
                          </a:stretch>
                        </pic:blipFill>
                        <pic:spPr>
                          <a:xfrm>
                            <a:off x="0" y="0"/>
                            <a:ext cx="2832735" cy="2124710"/>
                          </a:xfrm>
                          <a:prstGeom prst="rect">
                            <a:avLst/>
                          </a:prstGeom>
                        </pic:spPr>
                      </pic:pic>
                    </a:graphicData>
                  </a:graphic>
                </wp:anchor>
              </w:drawing>
            </w:r>
            <w:r>
              <w:rPr>
                <w:rFonts w:hint="eastAsia" w:ascii="楷体" w:hAnsi="楷体" w:eastAsia="楷体" w:cs="楷体"/>
                <w:sz w:val="24"/>
                <w:szCs w:val="24"/>
                <w:lang w:eastAsia="zh-CN"/>
              </w:rPr>
              <w:drawing>
                <wp:anchor distT="0" distB="0" distL="114300" distR="114300" simplePos="0" relativeHeight="251668480" behindDoc="0" locked="0" layoutInCell="1" allowOverlap="1">
                  <wp:simplePos x="0" y="0"/>
                  <wp:positionH relativeFrom="column">
                    <wp:posOffset>57150</wp:posOffset>
                  </wp:positionH>
                  <wp:positionV relativeFrom="paragraph">
                    <wp:posOffset>274955</wp:posOffset>
                  </wp:positionV>
                  <wp:extent cx="2877820" cy="2159000"/>
                  <wp:effectExtent l="0" t="0" r="5080" b="0"/>
                  <wp:wrapNone/>
                  <wp:docPr id="32" name="图片 32" descr="0df1f9a7eb798bf4a61fd7a763ace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df1f9a7eb798bf4a61fd7a763acea7"/>
                          <pic:cNvPicPr>
                            <a:picLocks noChangeAspect="1"/>
                          </pic:cNvPicPr>
                        </pic:nvPicPr>
                        <pic:blipFill>
                          <a:blip r:embed="rId25"/>
                          <a:stretch>
                            <a:fillRect/>
                          </a:stretch>
                        </pic:blipFill>
                        <pic:spPr>
                          <a:xfrm>
                            <a:off x="0" y="0"/>
                            <a:ext cx="2877820" cy="2159000"/>
                          </a:xfrm>
                          <a:prstGeom prst="rect">
                            <a:avLst/>
                          </a:prstGeom>
                        </pic:spPr>
                      </pic:pic>
                    </a:graphicData>
                  </a:graphic>
                </wp:anchor>
              </w:drawing>
            </w:r>
            <w:r>
              <w:rPr>
                <w:rFonts w:hint="eastAsia" w:ascii="楷体" w:hAnsi="楷体" w:eastAsia="楷体" w:cs="楷体"/>
                <w:sz w:val="24"/>
                <w:szCs w:val="24"/>
              </w:rPr>
              <w:t>地面有少量粉尘，班长回答每周进行大清扫一次，会打扫干净。</w:t>
            </w:r>
          </w:p>
          <w:p>
            <w:pPr>
              <w:autoSpaceDE w:val="0"/>
              <w:autoSpaceDN w:val="0"/>
              <w:adjustRightInd w:val="0"/>
              <w:spacing w:line="360" w:lineRule="auto"/>
              <w:ind w:firstLine="360" w:firstLineChars="150"/>
              <w:rPr>
                <w:rFonts w:hint="eastAsia" w:ascii="楷体" w:hAnsi="楷体" w:eastAsia="楷体" w:cs="楷体"/>
                <w:sz w:val="24"/>
                <w:szCs w:val="24"/>
              </w:rPr>
            </w:pPr>
          </w:p>
          <w:p>
            <w:pPr>
              <w:autoSpaceDE w:val="0"/>
              <w:autoSpaceDN w:val="0"/>
              <w:adjustRightInd w:val="0"/>
              <w:spacing w:line="360" w:lineRule="auto"/>
              <w:ind w:firstLine="360" w:firstLineChars="150"/>
              <w:rPr>
                <w:rFonts w:hint="eastAsia" w:ascii="楷体" w:hAnsi="楷体" w:eastAsia="楷体" w:cs="楷体"/>
                <w:sz w:val="24"/>
                <w:szCs w:val="24"/>
              </w:rPr>
            </w:pPr>
          </w:p>
          <w:p>
            <w:pPr>
              <w:autoSpaceDE w:val="0"/>
              <w:autoSpaceDN w:val="0"/>
              <w:adjustRightInd w:val="0"/>
              <w:spacing w:line="360" w:lineRule="auto"/>
              <w:ind w:firstLine="360" w:firstLineChars="150"/>
              <w:rPr>
                <w:rFonts w:hint="eastAsia" w:ascii="楷体" w:hAnsi="楷体" w:eastAsia="楷体" w:cs="楷体"/>
                <w:sz w:val="24"/>
                <w:szCs w:val="24"/>
              </w:rPr>
            </w:pPr>
          </w:p>
          <w:p>
            <w:pPr>
              <w:autoSpaceDE w:val="0"/>
              <w:autoSpaceDN w:val="0"/>
              <w:adjustRightInd w:val="0"/>
              <w:spacing w:line="360" w:lineRule="auto"/>
              <w:ind w:firstLine="360" w:firstLineChars="150"/>
              <w:rPr>
                <w:rFonts w:hint="eastAsia" w:ascii="楷体" w:hAnsi="楷体" w:eastAsia="楷体" w:cs="楷体"/>
                <w:sz w:val="24"/>
                <w:szCs w:val="24"/>
              </w:rPr>
            </w:pPr>
          </w:p>
          <w:p>
            <w:pPr>
              <w:autoSpaceDE w:val="0"/>
              <w:autoSpaceDN w:val="0"/>
              <w:adjustRightInd w:val="0"/>
              <w:spacing w:line="360" w:lineRule="auto"/>
              <w:ind w:firstLine="360" w:firstLineChars="150"/>
              <w:rPr>
                <w:rFonts w:hint="eastAsia" w:ascii="楷体" w:hAnsi="楷体" w:eastAsia="楷体" w:cs="楷体"/>
                <w:sz w:val="24"/>
                <w:szCs w:val="24"/>
              </w:rPr>
            </w:pPr>
          </w:p>
          <w:p>
            <w:pPr>
              <w:autoSpaceDE w:val="0"/>
              <w:autoSpaceDN w:val="0"/>
              <w:adjustRightInd w:val="0"/>
              <w:spacing w:line="360" w:lineRule="auto"/>
              <w:ind w:firstLine="360" w:firstLineChars="150"/>
              <w:rPr>
                <w:rFonts w:hint="eastAsia" w:ascii="楷体" w:hAnsi="楷体" w:eastAsia="楷体" w:cs="楷体"/>
                <w:sz w:val="24"/>
                <w:szCs w:val="24"/>
              </w:rPr>
            </w:pPr>
          </w:p>
          <w:p>
            <w:pPr>
              <w:autoSpaceDE w:val="0"/>
              <w:autoSpaceDN w:val="0"/>
              <w:adjustRightInd w:val="0"/>
              <w:spacing w:line="360" w:lineRule="auto"/>
              <w:ind w:firstLine="360" w:firstLineChars="150"/>
              <w:rPr>
                <w:rFonts w:hint="eastAsia" w:ascii="楷体" w:hAnsi="楷体" w:eastAsia="楷体" w:cs="楷体"/>
                <w:sz w:val="24"/>
                <w:szCs w:val="24"/>
              </w:rPr>
            </w:pPr>
          </w:p>
          <w:p>
            <w:pPr>
              <w:autoSpaceDE w:val="0"/>
              <w:autoSpaceDN w:val="0"/>
              <w:adjustRightInd w:val="0"/>
              <w:spacing w:line="360" w:lineRule="auto"/>
              <w:ind w:firstLine="360" w:firstLineChars="150"/>
              <w:rPr>
                <w:rFonts w:hint="eastAsia" w:ascii="楷体" w:hAnsi="楷体" w:eastAsia="楷体" w:cs="楷体"/>
                <w:sz w:val="24"/>
                <w:szCs w:val="24"/>
              </w:rPr>
            </w:pPr>
          </w:p>
          <w:p>
            <w:pPr>
              <w:autoSpaceDE w:val="0"/>
              <w:autoSpaceDN w:val="0"/>
              <w:adjustRightInd w:val="0"/>
              <w:spacing w:line="360" w:lineRule="auto"/>
              <w:ind w:firstLine="360" w:firstLineChars="150"/>
              <w:rPr>
                <w:rFonts w:hint="eastAsia" w:ascii="楷体" w:hAnsi="楷体" w:eastAsia="楷体" w:cs="楷体"/>
                <w:sz w:val="24"/>
                <w:szCs w:val="24"/>
              </w:rPr>
            </w:pPr>
            <w:r>
              <w:rPr>
                <w:rFonts w:hint="eastAsia" w:ascii="楷体" w:hAnsi="楷体" w:eastAsia="楷体" w:cs="楷体"/>
                <w:sz w:val="24"/>
                <w:szCs w:val="24"/>
                <w:lang w:eastAsia="zh-CN"/>
              </w:rPr>
              <w:drawing>
                <wp:anchor distT="0" distB="0" distL="114300" distR="114300" simplePos="0" relativeHeight="251670528" behindDoc="0" locked="0" layoutInCell="1" allowOverlap="1">
                  <wp:simplePos x="0" y="0"/>
                  <wp:positionH relativeFrom="column">
                    <wp:posOffset>63500</wp:posOffset>
                  </wp:positionH>
                  <wp:positionV relativeFrom="paragraph">
                    <wp:posOffset>235585</wp:posOffset>
                  </wp:positionV>
                  <wp:extent cx="2945130" cy="2209800"/>
                  <wp:effectExtent l="0" t="0" r="1270" b="0"/>
                  <wp:wrapNone/>
                  <wp:docPr id="34" name="图片 34" descr="e6a5a8bfe90d0d0360778863f05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6a5a8bfe90d0d0360778863f052360"/>
                          <pic:cNvPicPr>
                            <a:picLocks noChangeAspect="1"/>
                          </pic:cNvPicPr>
                        </pic:nvPicPr>
                        <pic:blipFill>
                          <a:blip r:embed="rId26"/>
                          <a:stretch>
                            <a:fillRect/>
                          </a:stretch>
                        </pic:blipFill>
                        <pic:spPr>
                          <a:xfrm>
                            <a:off x="0" y="0"/>
                            <a:ext cx="2945130" cy="2209800"/>
                          </a:xfrm>
                          <a:prstGeom prst="rect">
                            <a:avLst/>
                          </a:prstGeom>
                        </pic:spPr>
                      </pic:pic>
                    </a:graphicData>
                  </a:graphic>
                </wp:anchor>
              </w:drawing>
            </w:r>
          </w:p>
          <w:p>
            <w:pPr>
              <w:autoSpaceDE w:val="0"/>
              <w:autoSpaceDN w:val="0"/>
              <w:adjustRightInd w:val="0"/>
              <w:spacing w:line="360" w:lineRule="auto"/>
              <w:ind w:firstLine="360" w:firstLineChars="150"/>
              <w:rPr>
                <w:rFonts w:hint="eastAsia" w:ascii="楷体" w:hAnsi="楷体" w:eastAsia="楷体" w:cs="楷体"/>
                <w:sz w:val="24"/>
                <w:szCs w:val="24"/>
              </w:rPr>
            </w:pPr>
          </w:p>
          <w:p>
            <w:pPr>
              <w:autoSpaceDE w:val="0"/>
              <w:autoSpaceDN w:val="0"/>
              <w:adjustRightInd w:val="0"/>
              <w:spacing w:line="360" w:lineRule="auto"/>
              <w:ind w:firstLine="360" w:firstLineChars="150"/>
              <w:rPr>
                <w:rFonts w:hint="eastAsia" w:ascii="楷体" w:hAnsi="楷体" w:eastAsia="楷体" w:cs="楷体"/>
                <w:sz w:val="24"/>
                <w:szCs w:val="24"/>
              </w:rPr>
            </w:pPr>
          </w:p>
          <w:p>
            <w:pPr>
              <w:autoSpaceDE w:val="0"/>
              <w:autoSpaceDN w:val="0"/>
              <w:adjustRightInd w:val="0"/>
              <w:spacing w:line="360" w:lineRule="auto"/>
              <w:ind w:firstLine="360" w:firstLineChars="150"/>
              <w:rPr>
                <w:rFonts w:hint="eastAsia" w:ascii="楷体" w:hAnsi="楷体" w:eastAsia="楷体" w:cs="楷体"/>
                <w:sz w:val="24"/>
                <w:szCs w:val="24"/>
              </w:rPr>
            </w:pPr>
          </w:p>
          <w:p>
            <w:pPr>
              <w:autoSpaceDE w:val="0"/>
              <w:autoSpaceDN w:val="0"/>
              <w:adjustRightInd w:val="0"/>
              <w:spacing w:line="360" w:lineRule="auto"/>
              <w:ind w:firstLine="360" w:firstLineChars="150"/>
              <w:rPr>
                <w:rFonts w:hint="eastAsia" w:ascii="楷体" w:hAnsi="楷体" w:eastAsia="楷体" w:cs="楷体"/>
                <w:sz w:val="24"/>
                <w:szCs w:val="24"/>
              </w:rPr>
            </w:pPr>
          </w:p>
          <w:p>
            <w:pPr>
              <w:autoSpaceDE w:val="0"/>
              <w:autoSpaceDN w:val="0"/>
              <w:adjustRightInd w:val="0"/>
              <w:spacing w:line="360" w:lineRule="auto"/>
              <w:ind w:firstLine="360" w:firstLineChars="150"/>
              <w:rPr>
                <w:rFonts w:hint="eastAsia" w:ascii="楷体" w:hAnsi="楷体" w:eastAsia="楷体" w:cs="楷体"/>
                <w:sz w:val="24"/>
                <w:szCs w:val="24"/>
              </w:rPr>
            </w:pPr>
          </w:p>
          <w:p>
            <w:pPr>
              <w:autoSpaceDE w:val="0"/>
              <w:autoSpaceDN w:val="0"/>
              <w:adjustRightInd w:val="0"/>
              <w:spacing w:line="360" w:lineRule="auto"/>
              <w:ind w:firstLine="360" w:firstLineChars="150"/>
              <w:rPr>
                <w:rFonts w:hint="eastAsia" w:ascii="楷体" w:hAnsi="楷体" w:eastAsia="楷体" w:cs="楷体"/>
                <w:sz w:val="24"/>
                <w:szCs w:val="24"/>
              </w:rPr>
            </w:pPr>
          </w:p>
          <w:p>
            <w:pPr>
              <w:autoSpaceDE w:val="0"/>
              <w:autoSpaceDN w:val="0"/>
              <w:adjustRightInd w:val="0"/>
              <w:spacing w:line="360" w:lineRule="auto"/>
              <w:ind w:firstLine="360" w:firstLineChars="150"/>
              <w:rPr>
                <w:rFonts w:hint="eastAsia" w:ascii="楷体" w:hAnsi="楷体" w:eastAsia="楷体" w:cs="楷体"/>
                <w:sz w:val="24"/>
                <w:szCs w:val="24"/>
              </w:rPr>
            </w:pPr>
          </w:p>
          <w:p>
            <w:pPr>
              <w:autoSpaceDE w:val="0"/>
              <w:autoSpaceDN w:val="0"/>
              <w:adjustRightInd w:val="0"/>
              <w:spacing w:line="360" w:lineRule="auto"/>
              <w:ind w:firstLine="360" w:firstLineChars="150"/>
              <w:rPr>
                <w:rFonts w:hint="eastAsia" w:ascii="楷体" w:hAnsi="楷体" w:eastAsia="楷体" w:cs="楷体"/>
                <w:sz w:val="24"/>
                <w:szCs w:val="24"/>
              </w:rPr>
            </w:pPr>
          </w:p>
          <w:p>
            <w:pPr>
              <w:spacing w:line="360" w:lineRule="auto"/>
              <w:ind w:firstLine="360" w:firstLineChars="150"/>
              <w:rPr>
                <w:rFonts w:ascii="楷体" w:hAnsi="楷体" w:eastAsia="楷体" w:cs="Arial"/>
                <w:color w:val="FF0000"/>
                <w:sz w:val="24"/>
                <w:szCs w:val="24"/>
              </w:rPr>
            </w:pPr>
            <w:r>
              <w:rPr>
                <w:rFonts w:hint="eastAsia" w:ascii="楷体" w:hAnsi="楷体" w:eastAsia="楷体" w:cs="楷体"/>
                <w:sz w:val="24"/>
                <w:szCs w:val="24"/>
              </w:rPr>
              <w:t>生产</w:t>
            </w:r>
            <w:r>
              <w:rPr>
                <w:rFonts w:hint="eastAsia" w:ascii="楷体" w:hAnsi="楷体" w:eastAsia="楷体"/>
                <w:sz w:val="24"/>
                <w:szCs w:val="24"/>
              </w:rPr>
              <w:t>车间内现场电线布线合理，电线均处于完好状态，设备有接地及保护装置，控制柜及漏电保护器状态良好</w:t>
            </w:r>
            <w:r>
              <w:rPr>
                <w:rFonts w:hint="eastAsia" w:ascii="楷体" w:hAnsi="楷体" w:eastAsia="楷体" w:cs="Arial"/>
                <w:sz w:val="24"/>
                <w:szCs w:val="24"/>
              </w:rPr>
              <w:t>。</w:t>
            </w:r>
          </w:p>
          <w:p>
            <w:pPr>
              <w:spacing w:line="360" w:lineRule="auto"/>
              <w:ind w:firstLine="421"/>
              <w:rPr>
                <w:rFonts w:ascii="楷体" w:hAnsi="楷体" w:eastAsia="楷体" w:cs="宋体"/>
                <w:b/>
                <w:bCs/>
                <w:sz w:val="24"/>
                <w:szCs w:val="24"/>
              </w:rPr>
            </w:pPr>
            <w:r>
              <w:rPr>
                <w:rFonts w:hint="eastAsia" w:ascii="楷体" w:hAnsi="楷体" w:eastAsia="楷体" w:cs="宋体"/>
                <w:sz w:val="24"/>
                <w:szCs w:val="24"/>
              </w:rPr>
              <w:t>车间现场在环保和职业健康安全防护方面的控制管理基本有效。</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384" w:type="dxa"/>
          </w:tcPr>
          <w:p>
            <w:pPr>
              <w:spacing w:line="360" w:lineRule="auto"/>
              <w:rPr>
                <w:rFonts w:ascii="楷体" w:hAnsi="楷体" w:eastAsia="楷体"/>
                <w:sz w:val="24"/>
                <w:szCs w:val="24"/>
              </w:rPr>
            </w:pPr>
            <w:r>
              <w:rPr>
                <w:rFonts w:hint="eastAsia" w:ascii="楷体" w:hAnsi="楷体" w:eastAsia="楷体"/>
                <w:sz w:val="24"/>
                <w:szCs w:val="24"/>
              </w:rPr>
              <w:t>应急准备和相应</w:t>
            </w:r>
          </w:p>
        </w:tc>
        <w:tc>
          <w:tcPr>
            <w:tcW w:w="1276" w:type="dxa"/>
            <w:vAlign w:val="center"/>
          </w:tcPr>
          <w:p>
            <w:pPr>
              <w:spacing w:line="360" w:lineRule="auto"/>
              <w:rPr>
                <w:rFonts w:ascii="楷体" w:hAnsi="楷体" w:eastAsia="楷体"/>
                <w:sz w:val="24"/>
                <w:szCs w:val="24"/>
              </w:rPr>
            </w:pPr>
            <w:r>
              <w:rPr>
                <w:rFonts w:hint="eastAsia" w:ascii="楷体" w:hAnsi="楷体" w:eastAsia="楷体"/>
                <w:sz w:val="24"/>
                <w:szCs w:val="24"/>
              </w:rPr>
              <w:t>EO8.2</w:t>
            </w:r>
          </w:p>
        </w:tc>
        <w:tc>
          <w:tcPr>
            <w:tcW w:w="10464" w:type="dxa"/>
            <w:vAlign w:val="center"/>
          </w:tcPr>
          <w:p>
            <w:pPr>
              <w:tabs>
                <w:tab w:val="left" w:pos="6597"/>
              </w:tabs>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编制了《应急准备和响应控制程序》，提供了机械伤害应急预案、火灾应急预案、触电事故应急预案、食物中毒应急预案，其中包括目的、适用范围、职责、应急处理细则、演习、必备资料等，相关内容基本充分。</w:t>
            </w:r>
          </w:p>
          <w:p>
            <w:pPr>
              <w:tabs>
                <w:tab w:val="left" w:pos="6597"/>
              </w:tabs>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应急设施配置：在院内、办公场所内、车间内、仓库内均配备了灭火器、消防栓等消防设施，均在有效期内，状态良好。</w:t>
            </w:r>
          </w:p>
          <w:p>
            <w:pPr>
              <w:tabs>
                <w:tab w:val="left" w:pos="6597"/>
              </w:tabs>
              <w:spacing w:line="360" w:lineRule="auto"/>
              <w:ind w:firstLine="480" w:firstLineChars="200"/>
              <w:rPr>
                <w:rFonts w:hint="eastAsia" w:ascii="楷体" w:hAnsi="楷体" w:eastAsia="楷体" w:cs="楷体"/>
                <w:sz w:val="24"/>
                <w:szCs w:val="24"/>
                <w:lang w:eastAsia="zh-CN"/>
              </w:rPr>
            </w:pPr>
            <w:r>
              <w:rPr>
                <w:rFonts w:hint="eastAsia" w:ascii="楷体" w:hAnsi="楷体" w:eastAsia="楷体" w:cs="楷体"/>
                <w:sz w:val="24"/>
                <w:szCs w:val="24"/>
              </w:rPr>
              <w:t>20</w:t>
            </w:r>
            <w:r>
              <w:rPr>
                <w:rFonts w:hint="eastAsia" w:ascii="楷体" w:hAnsi="楷体" w:eastAsia="楷体" w:cs="楷体"/>
                <w:sz w:val="24"/>
                <w:szCs w:val="24"/>
                <w:lang w:val="en-US" w:eastAsia="zh-CN"/>
              </w:rPr>
              <w:t>20</w:t>
            </w:r>
            <w:r>
              <w:rPr>
                <w:rFonts w:hint="eastAsia" w:ascii="楷体" w:hAnsi="楷体" w:eastAsia="楷体" w:cs="楷体"/>
                <w:sz w:val="24"/>
                <w:szCs w:val="24"/>
              </w:rPr>
              <w:t>.</w:t>
            </w:r>
            <w:r>
              <w:rPr>
                <w:rFonts w:hint="eastAsia" w:ascii="楷体" w:hAnsi="楷体" w:eastAsia="楷体" w:cs="楷体"/>
                <w:sz w:val="24"/>
                <w:szCs w:val="24"/>
                <w:lang w:val="en-US" w:eastAsia="zh-CN"/>
              </w:rPr>
              <w:t>9</w:t>
            </w:r>
            <w:r>
              <w:rPr>
                <w:rFonts w:hint="eastAsia" w:ascii="楷体" w:hAnsi="楷体" w:eastAsia="楷体" w:cs="楷体"/>
                <w:sz w:val="24"/>
                <w:szCs w:val="24"/>
              </w:rPr>
              <w:t>.</w:t>
            </w:r>
            <w:r>
              <w:rPr>
                <w:rFonts w:hint="eastAsia" w:ascii="楷体" w:hAnsi="楷体" w:eastAsia="楷体" w:cs="楷体"/>
                <w:sz w:val="24"/>
                <w:szCs w:val="24"/>
                <w:lang w:val="en-US" w:eastAsia="zh-CN"/>
              </w:rPr>
              <w:t>2</w:t>
            </w:r>
            <w:r>
              <w:rPr>
                <w:rFonts w:hint="eastAsia" w:ascii="楷体" w:hAnsi="楷体" w:eastAsia="楷体" w:cs="楷体"/>
                <w:sz w:val="24"/>
                <w:szCs w:val="24"/>
              </w:rPr>
              <w:t>日参加了火灾</w:t>
            </w:r>
            <w:r>
              <w:rPr>
                <w:rFonts w:ascii="楷体" w:hAnsi="楷体" w:eastAsia="楷体" w:cs="楷体"/>
                <w:sz w:val="24"/>
                <w:szCs w:val="24"/>
              </w:rPr>
              <w:t>事故</w:t>
            </w:r>
            <w:r>
              <w:rPr>
                <w:rFonts w:hint="eastAsia" w:ascii="楷体" w:hAnsi="楷体" w:eastAsia="楷体" w:cs="楷体"/>
                <w:sz w:val="24"/>
                <w:szCs w:val="24"/>
              </w:rPr>
              <w:t>应急救援预案演练</w:t>
            </w:r>
            <w:r>
              <w:rPr>
                <w:rFonts w:hint="eastAsia" w:ascii="楷体" w:hAnsi="楷体" w:eastAsia="楷体" w:cs="楷体"/>
                <w:sz w:val="24"/>
                <w:szCs w:val="24"/>
                <w:lang w:eastAsia="zh-CN"/>
              </w:rPr>
              <w:t>。</w:t>
            </w:r>
          </w:p>
          <w:p>
            <w:pPr>
              <w:spacing w:line="360" w:lineRule="auto"/>
              <w:ind w:firstLine="360" w:firstLineChars="150"/>
              <w:rPr>
                <w:rFonts w:ascii="楷体" w:hAnsi="楷体" w:eastAsia="楷体" w:cs="楷体"/>
                <w:sz w:val="24"/>
                <w:szCs w:val="24"/>
              </w:rPr>
            </w:pPr>
            <w:r>
              <w:rPr>
                <w:rFonts w:hint="eastAsia" w:ascii="楷体" w:hAnsi="楷体" w:eastAsia="楷体" w:cs="楷体"/>
                <w:sz w:val="24"/>
                <w:szCs w:val="24"/>
              </w:rPr>
              <w:t>现场巡视办公区和车间配有多个灭火器和消防栓，均有效。</w:t>
            </w:r>
          </w:p>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查到“消防安全检查表”，抽查2019.7.12日检查结果均正常。</w:t>
            </w:r>
          </w:p>
          <w:p>
            <w:pPr>
              <w:tabs>
                <w:tab w:val="left" w:pos="6597"/>
              </w:tabs>
              <w:spacing w:line="360" w:lineRule="auto"/>
              <w:ind w:firstLine="480" w:firstLineChars="200"/>
              <w:rPr>
                <w:rFonts w:ascii="楷体" w:hAnsi="楷体" w:eastAsia="楷体"/>
                <w:sz w:val="24"/>
                <w:szCs w:val="24"/>
              </w:rPr>
            </w:pPr>
            <w:r>
              <w:rPr>
                <w:rFonts w:hint="eastAsia" w:ascii="楷体" w:hAnsi="楷体" w:eastAsia="楷体" w:cs="楷体"/>
                <w:sz w:val="24"/>
                <w:szCs w:val="24"/>
              </w:rPr>
              <w:t>自体系运行以来尚未发生紧急情况。</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384" w:type="dxa"/>
          </w:tcPr>
          <w:p>
            <w:pPr>
              <w:spacing w:line="360" w:lineRule="auto"/>
              <w:rPr>
                <w:rFonts w:ascii="楷体" w:hAnsi="楷体" w:eastAsia="楷体" w:cs="宋体"/>
                <w:sz w:val="24"/>
                <w:szCs w:val="24"/>
              </w:rPr>
            </w:pPr>
          </w:p>
        </w:tc>
        <w:tc>
          <w:tcPr>
            <w:tcW w:w="1276" w:type="dxa"/>
          </w:tcPr>
          <w:p>
            <w:pPr>
              <w:spacing w:line="360" w:lineRule="auto"/>
              <w:rPr>
                <w:rFonts w:ascii="楷体" w:hAnsi="楷体" w:eastAsia="楷体" w:cs="宋体"/>
                <w:sz w:val="24"/>
                <w:szCs w:val="24"/>
              </w:rPr>
            </w:pPr>
          </w:p>
        </w:tc>
        <w:tc>
          <w:tcPr>
            <w:tcW w:w="10464" w:type="dxa"/>
            <w:vAlign w:val="center"/>
          </w:tcPr>
          <w:p>
            <w:pPr>
              <w:snapToGrid w:val="0"/>
              <w:spacing w:line="360" w:lineRule="auto"/>
              <w:ind w:firstLine="480" w:firstLineChars="200"/>
              <w:jc w:val="left"/>
              <w:rPr>
                <w:rFonts w:ascii="楷体" w:hAnsi="楷体" w:eastAsia="楷体" w:cs="宋体"/>
                <w:sz w:val="24"/>
                <w:szCs w:val="24"/>
              </w:rPr>
            </w:pPr>
          </w:p>
        </w:tc>
        <w:tc>
          <w:tcPr>
            <w:tcW w:w="1585" w:type="dxa"/>
          </w:tcPr>
          <w:p>
            <w:pPr>
              <w:spacing w:line="360" w:lineRule="auto"/>
              <w:rPr>
                <w:rFonts w:ascii="楷体" w:hAnsi="楷体" w:eastAsia="楷体"/>
                <w:sz w:val="24"/>
                <w:szCs w:val="24"/>
              </w:rPr>
            </w:pPr>
          </w:p>
        </w:tc>
      </w:tr>
    </w:tbl>
    <w:p>
      <w:pPr>
        <w:rPr>
          <w:rFonts w:ascii="楷体" w:hAnsi="楷体" w:eastAsia="楷体"/>
        </w:rPr>
      </w:pPr>
      <w:r>
        <w:rPr>
          <w:rFonts w:ascii="楷体" w:hAnsi="楷体" w:eastAsia="楷体"/>
        </w:rPr>
        <w:ptab w:relativeTo="margin" w:alignment="center" w:leader="none"/>
      </w:r>
    </w:p>
    <w:p>
      <w:pPr>
        <w:rPr>
          <w:rFonts w:ascii="楷体" w:hAnsi="楷体" w:eastAsia="楷体"/>
        </w:rPr>
      </w:pPr>
    </w:p>
    <w:p>
      <w:pPr>
        <w:pStyle w:val="3"/>
        <w:rPr>
          <w:rFonts w:ascii="楷体" w:hAnsi="楷体" w:eastAsia="楷体"/>
        </w:rPr>
      </w:pPr>
      <w:r>
        <w:rPr>
          <w:rFonts w:hint="eastAsia" w:ascii="楷体" w:hAnsi="楷体" w:eastAsia="楷体"/>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3"/>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25</w:t>
            </w:r>
            <w:r>
              <w:rPr>
                <w:b/>
                <w:sz w:val="24"/>
                <w:szCs w:val="24"/>
              </w:rPr>
              <w:fldChar w:fldCharType="end"/>
            </w:r>
          </w:p>
        </w:sdtContent>
      </w:sdt>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86" w:leftChars="-41" w:firstLine="810" w:firstLineChars="450"/>
      <w:jc w:val="left"/>
      <w:rPr>
        <w:rStyle w:val="11"/>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4"/>
      <w:pBdr>
        <w:bottom w:val="none" w:color="auto" w:sz="0" w:space="1"/>
      </w:pBdr>
      <w:spacing w:line="320" w:lineRule="exact"/>
      <w:jc w:val="left"/>
    </w:pPr>
    <w:r>
      <w:pict>
        <v:shape id="文本框 1" o:spid="_x0000_s2050"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ISC-B-II-31 管理体系审核记录表(03版)</w:t>
                </w:r>
              </w:p>
            </w:txbxContent>
          </v:textbox>
        </v:shape>
      </w:pict>
    </w:r>
    <w:r>
      <w:rPr>
        <w:rStyle w:val="11"/>
        <w:rFonts w:hint="default"/>
      </w:rPr>
      <w:t xml:space="preserve">        </w:t>
    </w:r>
    <w:r>
      <w:rPr>
        <w:rStyle w:val="11"/>
        <w:rFonts w:hint="default"/>
        <w:w w:val="90"/>
      </w:rPr>
      <w:t>Beijing International Standard united Certification Co.,Ltd.</w:t>
    </w:r>
    <w:r>
      <w:rPr>
        <w:rStyle w:val="11"/>
        <w:rFonts w:hint="default"/>
        <w:w w:val="90"/>
        <w:szCs w:val="21"/>
      </w:rPr>
      <w:t xml:space="preserve">  </w:t>
    </w:r>
    <w:r>
      <w:rPr>
        <w:rStyle w:val="11"/>
        <w:rFonts w:hint="default"/>
        <w:w w:val="90"/>
        <w:sz w:val="20"/>
      </w:rPr>
      <w:t xml:space="preserve"> </w:t>
    </w:r>
    <w:r>
      <w:rPr>
        <w:rStyle w:val="11"/>
        <w:rFonts w:hint="default"/>
        <w:w w:val="90"/>
      </w:rPr>
      <w:t xml:space="preserve">                   </w:t>
    </w:r>
  </w:p>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638A8C"/>
    <w:multiLevelType w:val="singleLevel"/>
    <w:tmpl w:val="33638A8C"/>
    <w:lvl w:ilvl="0" w:tentative="0">
      <w:start w:val="5"/>
      <w:numFmt w:val="decimal"/>
      <w:suff w:val="nothing"/>
      <w:lvlText w:val="%1、"/>
      <w:lvlJc w:val="left"/>
    </w:lvl>
  </w:abstractNum>
  <w:abstractNum w:abstractNumId="1">
    <w:nsid w:val="6AD65455"/>
    <w:multiLevelType w:val="multilevel"/>
    <w:tmpl w:val="6AD6545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CEA79DE"/>
    <w:multiLevelType w:val="multilevel"/>
    <w:tmpl w:val="7CEA79D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4817"/>
    <w:rsid w:val="00005AA6"/>
    <w:rsid w:val="00007C97"/>
    <w:rsid w:val="000214B6"/>
    <w:rsid w:val="000225FF"/>
    <w:rsid w:val="0002531E"/>
    <w:rsid w:val="0003373A"/>
    <w:rsid w:val="000369F1"/>
    <w:rsid w:val="00037697"/>
    <w:rsid w:val="000412F6"/>
    <w:rsid w:val="00045270"/>
    <w:rsid w:val="00046121"/>
    <w:rsid w:val="0004642B"/>
    <w:rsid w:val="00047E49"/>
    <w:rsid w:val="0005199E"/>
    <w:rsid w:val="0005697E"/>
    <w:rsid w:val="000579CF"/>
    <w:rsid w:val="00063275"/>
    <w:rsid w:val="00065C74"/>
    <w:rsid w:val="00072B81"/>
    <w:rsid w:val="00076CD3"/>
    <w:rsid w:val="00080C1D"/>
    <w:rsid w:val="00082216"/>
    <w:rsid w:val="00082398"/>
    <w:rsid w:val="000849D2"/>
    <w:rsid w:val="0008635A"/>
    <w:rsid w:val="00086C3D"/>
    <w:rsid w:val="0008749B"/>
    <w:rsid w:val="00091A2D"/>
    <w:rsid w:val="00097CAB"/>
    <w:rsid w:val="000A5E44"/>
    <w:rsid w:val="000A7044"/>
    <w:rsid w:val="000B0541"/>
    <w:rsid w:val="000B1394"/>
    <w:rsid w:val="000B2E9C"/>
    <w:rsid w:val="000B40BD"/>
    <w:rsid w:val="000C123B"/>
    <w:rsid w:val="000C151C"/>
    <w:rsid w:val="000C6AFC"/>
    <w:rsid w:val="000D51FB"/>
    <w:rsid w:val="000D5401"/>
    <w:rsid w:val="000D5976"/>
    <w:rsid w:val="000D5BE4"/>
    <w:rsid w:val="000D697A"/>
    <w:rsid w:val="000E2B69"/>
    <w:rsid w:val="000E2FCD"/>
    <w:rsid w:val="000E4B40"/>
    <w:rsid w:val="000E7848"/>
    <w:rsid w:val="000E7EF7"/>
    <w:rsid w:val="000F0CB7"/>
    <w:rsid w:val="000F2483"/>
    <w:rsid w:val="000F35F1"/>
    <w:rsid w:val="000F7D53"/>
    <w:rsid w:val="0010182C"/>
    <w:rsid w:val="00101F08"/>
    <w:rsid w:val="001022F1"/>
    <w:rsid w:val="001037D5"/>
    <w:rsid w:val="0010381F"/>
    <w:rsid w:val="00105BF7"/>
    <w:rsid w:val="00106BDD"/>
    <w:rsid w:val="00107942"/>
    <w:rsid w:val="001103A2"/>
    <w:rsid w:val="00112473"/>
    <w:rsid w:val="00112EBF"/>
    <w:rsid w:val="00112EF4"/>
    <w:rsid w:val="0012440D"/>
    <w:rsid w:val="00126769"/>
    <w:rsid w:val="00136114"/>
    <w:rsid w:val="0014220A"/>
    <w:rsid w:val="0014235B"/>
    <w:rsid w:val="00145688"/>
    <w:rsid w:val="001478E0"/>
    <w:rsid w:val="00150852"/>
    <w:rsid w:val="00152F47"/>
    <w:rsid w:val="001555E4"/>
    <w:rsid w:val="00155BB0"/>
    <w:rsid w:val="00160A2C"/>
    <w:rsid w:val="00161106"/>
    <w:rsid w:val="00165CC8"/>
    <w:rsid w:val="001677C1"/>
    <w:rsid w:val="00170E3E"/>
    <w:rsid w:val="001714F7"/>
    <w:rsid w:val="001737D0"/>
    <w:rsid w:val="00173DEB"/>
    <w:rsid w:val="00176F70"/>
    <w:rsid w:val="00186432"/>
    <w:rsid w:val="001876B6"/>
    <w:rsid w:val="001904A8"/>
    <w:rsid w:val="001918ED"/>
    <w:rsid w:val="00192A7F"/>
    <w:rsid w:val="001930E6"/>
    <w:rsid w:val="001951C7"/>
    <w:rsid w:val="00196315"/>
    <w:rsid w:val="001A191B"/>
    <w:rsid w:val="001A2536"/>
    <w:rsid w:val="001A2D7F"/>
    <w:rsid w:val="001A3DF8"/>
    <w:rsid w:val="001A572D"/>
    <w:rsid w:val="001B3A18"/>
    <w:rsid w:val="001C0577"/>
    <w:rsid w:val="001C724A"/>
    <w:rsid w:val="001C74CE"/>
    <w:rsid w:val="001D12D6"/>
    <w:rsid w:val="001D318E"/>
    <w:rsid w:val="001D39C6"/>
    <w:rsid w:val="001D4AD8"/>
    <w:rsid w:val="001D54FF"/>
    <w:rsid w:val="001D652E"/>
    <w:rsid w:val="001D73AD"/>
    <w:rsid w:val="001E1974"/>
    <w:rsid w:val="001E1C36"/>
    <w:rsid w:val="001E21FA"/>
    <w:rsid w:val="001E64EB"/>
    <w:rsid w:val="001E74E2"/>
    <w:rsid w:val="001F0DAF"/>
    <w:rsid w:val="001F1714"/>
    <w:rsid w:val="001F556C"/>
    <w:rsid w:val="00201285"/>
    <w:rsid w:val="002020CB"/>
    <w:rsid w:val="00202985"/>
    <w:rsid w:val="00202BC2"/>
    <w:rsid w:val="002122D7"/>
    <w:rsid w:val="00214113"/>
    <w:rsid w:val="00215081"/>
    <w:rsid w:val="00215B15"/>
    <w:rsid w:val="00222532"/>
    <w:rsid w:val="00222839"/>
    <w:rsid w:val="002250F7"/>
    <w:rsid w:val="0023038C"/>
    <w:rsid w:val="00237445"/>
    <w:rsid w:val="00237625"/>
    <w:rsid w:val="00244DE1"/>
    <w:rsid w:val="0024743C"/>
    <w:rsid w:val="00247AD6"/>
    <w:rsid w:val="00250E2E"/>
    <w:rsid w:val="002513BC"/>
    <w:rsid w:val="002518FD"/>
    <w:rsid w:val="00251FDE"/>
    <w:rsid w:val="00252A48"/>
    <w:rsid w:val="002538FB"/>
    <w:rsid w:val="00264A93"/>
    <w:rsid w:val="002651A6"/>
    <w:rsid w:val="002669E5"/>
    <w:rsid w:val="00267C9B"/>
    <w:rsid w:val="00267E42"/>
    <w:rsid w:val="0027384F"/>
    <w:rsid w:val="00281EB5"/>
    <w:rsid w:val="00282C4E"/>
    <w:rsid w:val="0028333D"/>
    <w:rsid w:val="00283EE4"/>
    <w:rsid w:val="00290C8D"/>
    <w:rsid w:val="00290FC2"/>
    <w:rsid w:val="00293973"/>
    <w:rsid w:val="002973F0"/>
    <w:rsid w:val="002975C1"/>
    <w:rsid w:val="00297DFB"/>
    <w:rsid w:val="002A0E6E"/>
    <w:rsid w:val="002A2529"/>
    <w:rsid w:val="002A33CC"/>
    <w:rsid w:val="002B01C2"/>
    <w:rsid w:val="002B14DB"/>
    <w:rsid w:val="002B1808"/>
    <w:rsid w:val="002B59CF"/>
    <w:rsid w:val="002C1ACE"/>
    <w:rsid w:val="002C1AF9"/>
    <w:rsid w:val="002C3E0D"/>
    <w:rsid w:val="002D1ACF"/>
    <w:rsid w:val="002D41FB"/>
    <w:rsid w:val="002D70C3"/>
    <w:rsid w:val="002E0587"/>
    <w:rsid w:val="002E1E1D"/>
    <w:rsid w:val="002E5A2D"/>
    <w:rsid w:val="002F05FA"/>
    <w:rsid w:val="002F27C3"/>
    <w:rsid w:val="002F2E87"/>
    <w:rsid w:val="002F307B"/>
    <w:rsid w:val="002F5C01"/>
    <w:rsid w:val="00304F0B"/>
    <w:rsid w:val="003075BF"/>
    <w:rsid w:val="0031213E"/>
    <w:rsid w:val="00317401"/>
    <w:rsid w:val="0032273E"/>
    <w:rsid w:val="0032358B"/>
    <w:rsid w:val="00325552"/>
    <w:rsid w:val="0032616E"/>
    <w:rsid w:val="00326FC1"/>
    <w:rsid w:val="00330405"/>
    <w:rsid w:val="0033189B"/>
    <w:rsid w:val="00331EC6"/>
    <w:rsid w:val="00337922"/>
    <w:rsid w:val="00340867"/>
    <w:rsid w:val="00340CC4"/>
    <w:rsid w:val="00342857"/>
    <w:rsid w:val="00342E9F"/>
    <w:rsid w:val="003439A4"/>
    <w:rsid w:val="00350DA9"/>
    <w:rsid w:val="00351CEE"/>
    <w:rsid w:val="00354FA3"/>
    <w:rsid w:val="0035727B"/>
    <w:rsid w:val="003602A4"/>
    <w:rsid w:val="003605A4"/>
    <w:rsid w:val="003608CB"/>
    <w:rsid w:val="00362501"/>
    <w:rsid w:val="003627B6"/>
    <w:rsid w:val="00363DA8"/>
    <w:rsid w:val="0036714F"/>
    <w:rsid w:val="00367240"/>
    <w:rsid w:val="003708D5"/>
    <w:rsid w:val="003720E8"/>
    <w:rsid w:val="003744AD"/>
    <w:rsid w:val="00374D02"/>
    <w:rsid w:val="00374EE8"/>
    <w:rsid w:val="0038061A"/>
    <w:rsid w:val="0038063B"/>
    <w:rsid w:val="00380837"/>
    <w:rsid w:val="00382518"/>
    <w:rsid w:val="00382EDD"/>
    <w:rsid w:val="003836CA"/>
    <w:rsid w:val="00384306"/>
    <w:rsid w:val="00385291"/>
    <w:rsid w:val="00386A98"/>
    <w:rsid w:val="0038786B"/>
    <w:rsid w:val="00390252"/>
    <w:rsid w:val="0039060D"/>
    <w:rsid w:val="003908B4"/>
    <w:rsid w:val="00394590"/>
    <w:rsid w:val="00396212"/>
    <w:rsid w:val="003A1E9C"/>
    <w:rsid w:val="003A484E"/>
    <w:rsid w:val="003A7A5C"/>
    <w:rsid w:val="003B2D8A"/>
    <w:rsid w:val="003B4CA7"/>
    <w:rsid w:val="003C0FC5"/>
    <w:rsid w:val="003C56FD"/>
    <w:rsid w:val="003C7798"/>
    <w:rsid w:val="003D42CB"/>
    <w:rsid w:val="003D51E8"/>
    <w:rsid w:val="003D6BE3"/>
    <w:rsid w:val="003D736E"/>
    <w:rsid w:val="003E03C4"/>
    <w:rsid w:val="003E0E52"/>
    <w:rsid w:val="003E60B4"/>
    <w:rsid w:val="003F20A5"/>
    <w:rsid w:val="003F233D"/>
    <w:rsid w:val="003F5B09"/>
    <w:rsid w:val="003F7D59"/>
    <w:rsid w:val="003F7D64"/>
    <w:rsid w:val="00400B96"/>
    <w:rsid w:val="00401BD6"/>
    <w:rsid w:val="00401EB3"/>
    <w:rsid w:val="00404E55"/>
    <w:rsid w:val="00405000"/>
    <w:rsid w:val="00405D5F"/>
    <w:rsid w:val="00410914"/>
    <w:rsid w:val="00410B9E"/>
    <w:rsid w:val="004118DA"/>
    <w:rsid w:val="00411B69"/>
    <w:rsid w:val="004138F6"/>
    <w:rsid w:val="004156DF"/>
    <w:rsid w:val="00415AA3"/>
    <w:rsid w:val="004165DA"/>
    <w:rsid w:val="00417D9C"/>
    <w:rsid w:val="00420C60"/>
    <w:rsid w:val="00420C95"/>
    <w:rsid w:val="00422965"/>
    <w:rsid w:val="00423983"/>
    <w:rsid w:val="00424D15"/>
    <w:rsid w:val="00425102"/>
    <w:rsid w:val="0042604D"/>
    <w:rsid w:val="00430432"/>
    <w:rsid w:val="0043078C"/>
    <w:rsid w:val="004316FF"/>
    <w:rsid w:val="00433759"/>
    <w:rsid w:val="0043494E"/>
    <w:rsid w:val="004351AF"/>
    <w:rsid w:val="00440B76"/>
    <w:rsid w:val="004414A5"/>
    <w:rsid w:val="00441C33"/>
    <w:rsid w:val="00442208"/>
    <w:rsid w:val="00445C84"/>
    <w:rsid w:val="00456697"/>
    <w:rsid w:val="004570AB"/>
    <w:rsid w:val="00460E78"/>
    <w:rsid w:val="00461F7A"/>
    <w:rsid w:val="00465FE1"/>
    <w:rsid w:val="00466832"/>
    <w:rsid w:val="00470B5E"/>
    <w:rsid w:val="00475491"/>
    <w:rsid w:val="004869FB"/>
    <w:rsid w:val="00491735"/>
    <w:rsid w:val="00494A46"/>
    <w:rsid w:val="004954AB"/>
    <w:rsid w:val="00496016"/>
    <w:rsid w:val="004A25AE"/>
    <w:rsid w:val="004A5A81"/>
    <w:rsid w:val="004B1EC1"/>
    <w:rsid w:val="004B217F"/>
    <w:rsid w:val="004B29CD"/>
    <w:rsid w:val="004B3600"/>
    <w:rsid w:val="004B3E7F"/>
    <w:rsid w:val="004B437C"/>
    <w:rsid w:val="004B768D"/>
    <w:rsid w:val="004C07FE"/>
    <w:rsid w:val="004D1FBC"/>
    <w:rsid w:val="004D228E"/>
    <w:rsid w:val="004D3E4C"/>
    <w:rsid w:val="004D4610"/>
    <w:rsid w:val="004D4FFE"/>
    <w:rsid w:val="004D71B9"/>
    <w:rsid w:val="004E2863"/>
    <w:rsid w:val="004F012A"/>
    <w:rsid w:val="004F185D"/>
    <w:rsid w:val="004F575F"/>
    <w:rsid w:val="00500B43"/>
    <w:rsid w:val="00502B7F"/>
    <w:rsid w:val="005037D9"/>
    <w:rsid w:val="00504418"/>
    <w:rsid w:val="005056ED"/>
    <w:rsid w:val="00506D58"/>
    <w:rsid w:val="0051026D"/>
    <w:rsid w:val="00513A36"/>
    <w:rsid w:val="005155C4"/>
    <w:rsid w:val="005159E6"/>
    <w:rsid w:val="005162A7"/>
    <w:rsid w:val="00517E4C"/>
    <w:rsid w:val="00521CF0"/>
    <w:rsid w:val="00524794"/>
    <w:rsid w:val="00525B29"/>
    <w:rsid w:val="005272FD"/>
    <w:rsid w:val="00530B0E"/>
    <w:rsid w:val="00530BBE"/>
    <w:rsid w:val="0053208B"/>
    <w:rsid w:val="00532214"/>
    <w:rsid w:val="00532963"/>
    <w:rsid w:val="00534814"/>
    <w:rsid w:val="00536930"/>
    <w:rsid w:val="00537771"/>
    <w:rsid w:val="005403BA"/>
    <w:rsid w:val="0054118D"/>
    <w:rsid w:val="0054270E"/>
    <w:rsid w:val="005428F3"/>
    <w:rsid w:val="00542A03"/>
    <w:rsid w:val="00547980"/>
    <w:rsid w:val="00547E16"/>
    <w:rsid w:val="00552F32"/>
    <w:rsid w:val="00553C08"/>
    <w:rsid w:val="00560A2A"/>
    <w:rsid w:val="00564E53"/>
    <w:rsid w:val="00571DE8"/>
    <w:rsid w:val="0057559A"/>
    <w:rsid w:val="0057776F"/>
    <w:rsid w:val="00580224"/>
    <w:rsid w:val="00581364"/>
    <w:rsid w:val="00581B74"/>
    <w:rsid w:val="00581ECA"/>
    <w:rsid w:val="00583277"/>
    <w:rsid w:val="00583744"/>
    <w:rsid w:val="00584E4C"/>
    <w:rsid w:val="00592C3E"/>
    <w:rsid w:val="00595FA8"/>
    <w:rsid w:val="00597CB8"/>
    <w:rsid w:val="005A000F"/>
    <w:rsid w:val="005A1ED6"/>
    <w:rsid w:val="005A46E1"/>
    <w:rsid w:val="005A4E86"/>
    <w:rsid w:val="005B1490"/>
    <w:rsid w:val="005B173D"/>
    <w:rsid w:val="005B6888"/>
    <w:rsid w:val="005B78B3"/>
    <w:rsid w:val="005D2669"/>
    <w:rsid w:val="005D3185"/>
    <w:rsid w:val="005D5667"/>
    <w:rsid w:val="005D788C"/>
    <w:rsid w:val="005E4698"/>
    <w:rsid w:val="005E59EE"/>
    <w:rsid w:val="005E6BC0"/>
    <w:rsid w:val="005F2936"/>
    <w:rsid w:val="005F3F52"/>
    <w:rsid w:val="005F4B95"/>
    <w:rsid w:val="005F4F35"/>
    <w:rsid w:val="005F5DC6"/>
    <w:rsid w:val="005F6C65"/>
    <w:rsid w:val="00600F02"/>
    <w:rsid w:val="0060444D"/>
    <w:rsid w:val="00607C9B"/>
    <w:rsid w:val="00611EBE"/>
    <w:rsid w:val="006122FC"/>
    <w:rsid w:val="00613D58"/>
    <w:rsid w:val="00623F91"/>
    <w:rsid w:val="00624138"/>
    <w:rsid w:val="0062550A"/>
    <w:rsid w:val="006255FD"/>
    <w:rsid w:val="006334B3"/>
    <w:rsid w:val="006354BB"/>
    <w:rsid w:val="0063558C"/>
    <w:rsid w:val="0063646D"/>
    <w:rsid w:val="00640BAD"/>
    <w:rsid w:val="00642776"/>
    <w:rsid w:val="00644FE2"/>
    <w:rsid w:val="00645FB8"/>
    <w:rsid w:val="0065134F"/>
    <w:rsid w:val="00651986"/>
    <w:rsid w:val="00651C82"/>
    <w:rsid w:val="006545E8"/>
    <w:rsid w:val="00660ABD"/>
    <w:rsid w:val="00662233"/>
    <w:rsid w:val="00663F92"/>
    <w:rsid w:val="00664736"/>
    <w:rsid w:val="006647C9"/>
    <w:rsid w:val="00665701"/>
    <w:rsid w:val="00665980"/>
    <w:rsid w:val="00672BD0"/>
    <w:rsid w:val="0067640C"/>
    <w:rsid w:val="006777A2"/>
    <w:rsid w:val="006836D9"/>
    <w:rsid w:val="00685F68"/>
    <w:rsid w:val="00686699"/>
    <w:rsid w:val="00686D0C"/>
    <w:rsid w:val="00690286"/>
    <w:rsid w:val="0069072E"/>
    <w:rsid w:val="0069278B"/>
    <w:rsid w:val="00695256"/>
    <w:rsid w:val="00695570"/>
    <w:rsid w:val="00696AF1"/>
    <w:rsid w:val="006A0BDC"/>
    <w:rsid w:val="006A3B31"/>
    <w:rsid w:val="006A5952"/>
    <w:rsid w:val="006A66C1"/>
    <w:rsid w:val="006A68F3"/>
    <w:rsid w:val="006B0297"/>
    <w:rsid w:val="006B06F4"/>
    <w:rsid w:val="006B2C6D"/>
    <w:rsid w:val="006B4127"/>
    <w:rsid w:val="006B5E6F"/>
    <w:rsid w:val="006C24BF"/>
    <w:rsid w:val="006C298F"/>
    <w:rsid w:val="006C2A6A"/>
    <w:rsid w:val="006C40B5"/>
    <w:rsid w:val="006C40B9"/>
    <w:rsid w:val="006C6653"/>
    <w:rsid w:val="006C7A93"/>
    <w:rsid w:val="006D1477"/>
    <w:rsid w:val="006D5A83"/>
    <w:rsid w:val="006E0DB3"/>
    <w:rsid w:val="006E3B1A"/>
    <w:rsid w:val="006E678B"/>
    <w:rsid w:val="006F1C10"/>
    <w:rsid w:val="006F50AA"/>
    <w:rsid w:val="006F5843"/>
    <w:rsid w:val="006F599A"/>
    <w:rsid w:val="006F5F4B"/>
    <w:rsid w:val="006F637B"/>
    <w:rsid w:val="006F7580"/>
    <w:rsid w:val="00702175"/>
    <w:rsid w:val="00703009"/>
    <w:rsid w:val="0070367F"/>
    <w:rsid w:val="00705E5B"/>
    <w:rsid w:val="0070605A"/>
    <w:rsid w:val="007076CC"/>
    <w:rsid w:val="007115C1"/>
    <w:rsid w:val="0071293B"/>
    <w:rsid w:val="00712F3C"/>
    <w:rsid w:val="00713183"/>
    <w:rsid w:val="00715C27"/>
    <w:rsid w:val="007170AA"/>
    <w:rsid w:val="00720D05"/>
    <w:rsid w:val="00722A29"/>
    <w:rsid w:val="00722EC9"/>
    <w:rsid w:val="00725011"/>
    <w:rsid w:val="00726918"/>
    <w:rsid w:val="00732B66"/>
    <w:rsid w:val="00734D96"/>
    <w:rsid w:val="00737C8F"/>
    <w:rsid w:val="007406DE"/>
    <w:rsid w:val="00740DCC"/>
    <w:rsid w:val="00743E79"/>
    <w:rsid w:val="00744BEA"/>
    <w:rsid w:val="00746B34"/>
    <w:rsid w:val="00751532"/>
    <w:rsid w:val="00751C37"/>
    <w:rsid w:val="00752B53"/>
    <w:rsid w:val="0075411F"/>
    <w:rsid w:val="007555AA"/>
    <w:rsid w:val="0075769B"/>
    <w:rsid w:val="0077198E"/>
    <w:rsid w:val="00773E78"/>
    <w:rsid w:val="007757F3"/>
    <w:rsid w:val="00777C2A"/>
    <w:rsid w:val="0078033F"/>
    <w:rsid w:val="007815DC"/>
    <w:rsid w:val="00786F84"/>
    <w:rsid w:val="00787A58"/>
    <w:rsid w:val="00793469"/>
    <w:rsid w:val="0079371F"/>
    <w:rsid w:val="00793792"/>
    <w:rsid w:val="00794527"/>
    <w:rsid w:val="00796E4A"/>
    <w:rsid w:val="007A47FB"/>
    <w:rsid w:val="007A7056"/>
    <w:rsid w:val="007B106B"/>
    <w:rsid w:val="007B275D"/>
    <w:rsid w:val="007B677C"/>
    <w:rsid w:val="007C6207"/>
    <w:rsid w:val="007C75EB"/>
    <w:rsid w:val="007D078F"/>
    <w:rsid w:val="007D2D21"/>
    <w:rsid w:val="007D4928"/>
    <w:rsid w:val="007E4877"/>
    <w:rsid w:val="007E4EB7"/>
    <w:rsid w:val="007E6AEB"/>
    <w:rsid w:val="007E6E7A"/>
    <w:rsid w:val="007F01EC"/>
    <w:rsid w:val="007F53E6"/>
    <w:rsid w:val="007F55ED"/>
    <w:rsid w:val="007F7DF2"/>
    <w:rsid w:val="00805A7B"/>
    <w:rsid w:val="00806CD1"/>
    <w:rsid w:val="008079FA"/>
    <w:rsid w:val="00810D58"/>
    <w:rsid w:val="00812EF4"/>
    <w:rsid w:val="00813316"/>
    <w:rsid w:val="008154F4"/>
    <w:rsid w:val="00823D48"/>
    <w:rsid w:val="0082611C"/>
    <w:rsid w:val="008336D7"/>
    <w:rsid w:val="008341E7"/>
    <w:rsid w:val="00835B31"/>
    <w:rsid w:val="008366E4"/>
    <w:rsid w:val="00841655"/>
    <w:rsid w:val="00844B5D"/>
    <w:rsid w:val="00847376"/>
    <w:rsid w:val="0084762C"/>
    <w:rsid w:val="0084793C"/>
    <w:rsid w:val="00850413"/>
    <w:rsid w:val="0085226F"/>
    <w:rsid w:val="00855B43"/>
    <w:rsid w:val="00857B4A"/>
    <w:rsid w:val="008605B6"/>
    <w:rsid w:val="00860C6F"/>
    <w:rsid w:val="00863074"/>
    <w:rsid w:val="008646DE"/>
    <w:rsid w:val="00864902"/>
    <w:rsid w:val="00864BE7"/>
    <w:rsid w:val="00865200"/>
    <w:rsid w:val="00867F1D"/>
    <w:rsid w:val="00871695"/>
    <w:rsid w:val="00871A89"/>
    <w:rsid w:val="008776D8"/>
    <w:rsid w:val="00884879"/>
    <w:rsid w:val="00885D20"/>
    <w:rsid w:val="00891C25"/>
    <w:rsid w:val="008945E1"/>
    <w:rsid w:val="008954D4"/>
    <w:rsid w:val="008957E5"/>
    <w:rsid w:val="00896A10"/>
    <w:rsid w:val="008970AD"/>
    <w:rsid w:val="008973EE"/>
    <w:rsid w:val="0089745C"/>
    <w:rsid w:val="00897630"/>
    <w:rsid w:val="00897717"/>
    <w:rsid w:val="008A6340"/>
    <w:rsid w:val="008A7314"/>
    <w:rsid w:val="008B1414"/>
    <w:rsid w:val="008B2609"/>
    <w:rsid w:val="008C023E"/>
    <w:rsid w:val="008C1939"/>
    <w:rsid w:val="008C42C7"/>
    <w:rsid w:val="008C51BA"/>
    <w:rsid w:val="008D089D"/>
    <w:rsid w:val="008D315D"/>
    <w:rsid w:val="008D41C3"/>
    <w:rsid w:val="008E0630"/>
    <w:rsid w:val="008E0863"/>
    <w:rsid w:val="008E31F5"/>
    <w:rsid w:val="008E4207"/>
    <w:rsid w:val="008E4B69"/>
    <w:rsid w:val="008E64A5"/>
    <w:rsid w:val="008F04C2"/>
    <w:rsid w:val="008F0B04"/>
    <w:rsid w:val="008F38E9"/>
    <w:rsid w:val="008F3FE0"/>
    <w:rsid w:val="008F41A1"/>
    <w:rsid w:val="008F5883"/>
    <w:rsid w:val="008F7C55"/>
    <w:rsid w:val="00900C72"/>
    <w:rsid w:val="0090619E"/>
    <w:rsid w:val="00907520"/>
    <w:rsid w:val="00907732"/>
    <w:rsid w:val="009128D8"/>
    <w:rsid w:val="0092033F"/>
    <w:rsid w:val="00922540"/>
    <w:rsid w:val="00925CE3"/>
    <w:rsid w:val="00930694"/>
    <w:rsid w:val="009336EC"/>
    <w:rsid w:val="0093521F"/>
    <w:rsid w:val="00936368"/>
    <w:rsid w:val="00936493"/>
    <w:rsid w:val="00937280"/>
    <w:rsid w:val="00940D41"/>
    <w:rsid w:val="00940F06"/>
    <w:rsid w:val="00945677"/>
    <w:rsid w:val="00950567"/>
    <w:rsid w:val="00951FB6"/>
    <w:rsid w:val="00953221"/>
    <w:rsid w:val="00953A34"/>
    <w:rsid w:val="00955B84"/>
    <w:rsid w:val="009610F8"/>
    <w:rsid w:val="00962113"/>
    <w:rsid w:val="00962F78"/>
    <w:rsid w:val="009639DD"/>
    <w:rsid w:val="0096609F"/>
    <w:rsid w:val="00966D8E"/>
    <w:rsid w:val="00967B50"/>
    <w:rsid w:val="00971600"/>
    <w:rsid w:val="009771CF"/>
    <w:rsid w:val="00983B0D"/>
    <w:rsid w:val="00984342"/>
    <w:rsid w:val="009858FB"/>
    <w:rsid w:val="00985FDD"/>
    <w:rsid w:val="00987356"/>
    <w:rsid w:val="009973B4"/>
    <w:rsid w:val="009975F2"/>
    <w:rsid w:val="009A3C46"/>
    <w:rsid w:val="009A46DF"/>
    <w:rsid w:val="009A54EA"/>
    <w:rsid w:val="009A611E"/>
    <w:rsid w:val="009A76A1"/>
    <w:rsid w:val="009B3E6E"/>
    <w:rsid w:val="009B4611"/>
    <w:rsid w:val="009B606C"/>
    <w:rsid w:val="009B7EB8"/>
    <w:rsid w:val="009C22BC"/>
    <w:rsid w:val="009C3E61"/>
    <w:rsid w:val="009D1FC3"/>
    <w:rsid w:val="009D48E6"/>
    <w:rsid w:val="009D5BB8"/>
    <w:rsid w:val="009D642E"/>
    <w:rsid w:val="009D6D70"/>
    <w:rsid w:val="009D7E11"/>
    <w:rsid w:val="009E0407"/>
    <w:rsid w:val="009E30DA"/>
    <w:rsid w:val="009E5541"/>
    <w:rsid w:val="009E6193"/>
    <w:rsid w:val="009E6BE6"/>
    <w:rsid w:val="009E7DD1"/>
    <w:rsid w:val="009F2BCB"/>
    <w:rsid w:val="009F609F"/>
    <w:rsid w:val="009F7EED"/>
    <w:rsid w:val="00A01006"/>
    <w:rsid w:val="00A01643"/>
    <w:rsid w:val="00A05352"/>
    <w:rsid w:val="00A068AD"/>
    <w:rsid w:val="00A115EA"/>
    <w:rsid w:val="00A11894"/>
    <w:rsid w:val="00A138EC"/>
    <w:rsid w:val="00A169D0"/>
    <w:rsid w:val="00A20F1D"/>
    <w:rsid w:val="00A22858"/>
    <w:rsid w:val="00A22C20"/>
    <w:rsid w:val="00A26E44"/>
    <w:rsid w:val="00A33258"/>
    <w:rsid w:val="00A34B9E"/>
    <w:rsid w:val="00A34EEE"/>
    <w:rsid w:val="00A43B08"/>
    <w:rsid w:val="00A458FE"/>
    <w:rsid w:val="00A502CC"/>
    <w:rsid w:val="00A53106"/>
    <w:rsid w:val="00A54F21"/>
    <w:rsid w:val="00A55527"/>
    <w:rsid w:val="00A6128F"/>
    <w:rsid w:val="00A656F9"/>
    <w:rsid w:val="00A672B4"/>
    <w:rsid w:val="00A70964"/>
    <w:rsid w:val="00A70F11"/>
    <w:rsid w:val="00A7595A"/>
    <w:rsid w:val="00A801DE"/>
    <w:rsid w:val="00A85271"/>
    <w:rsid w:val="00A909A3"/>
    <w:rsid w:val="00A90A22"/>
    <w:rsid w:val="00A95DF8"/>
    <w:rsid w:val="00A960E3"/>
    <w:rsid w:val="00A97734"/>
    <w:rsid w:val="00AA1946"/>
    <w:rsid w:val="00AA1A59"/>
    <w:rsid w:val="00AA291D"/>
    <w:rsid w:val="00AA6C7E"/>
    <w:rsid w:val="00AA6F86"/>
    <w:rsid w:val="00AA7F40"/>
    <w:rsid w:val="00AB2990"/>
    <w:rsid w:val="00AB3547"/>
    <w:rsid w:val="00AB41FC"/>
    <w:rsid w:val="00AB7D2F"/>
    <w:rsid w:val="00AC3C8A"/>
    <w:rsid w:val="00AC763E"/>
    <w:rsid w:val="00AD11A5"/>
    <w:rsid w:val="00AD1721"/>
    <w:rsid w:val="00AD1C7F"/>
    <w:rsid w:val="00AD333E"/>
    <w:rsid w:val="00AD6F34"/>
    <w:rsid w:val="00AD78E6"/>
    <w:rsid w:val="00AE4708"/>
    <w:rsid w:val="00AE4ED8"/>
    <w:rsid w:val="00AF062F"/>
    <w:rsid w:val="00AF0AAB"/>
    <w:rsid w:val="00AF156F"/>
    <w:rsid w:val="00AF3BBF"/>
    <w:rsid w:val="00AF4316"/>
    <w:rsid w:val="00AF616B"/>
    <w:rsid w:val="00B05366"/>
    <w:rsid w:val="00B0685B"/>
    <w:rsid w:val="00B103EA"/>
    <w:rsid w:val="00B17A56"/>
    <w:rsid w:val="00B20E72"/>
    <w:rsid w:val="00B21CD1"/>
    <w:rsid w:val="00B22D22"/>
    <w:rsid w:val="00B23030"/>
    <w:rsid w:val="00B237B9"/>
    <w:rsid w:val="00B23A5E"/>
    <w:rsid w:val="00B23CAA"/>
    <w:rsid w:val="00B23D33"/>
    <w:rsid w:val="00B2577D"/>
    <w:rsid w:val="00B363B3"/>
    <w:rsid w:val="00B40A19"/>
    <w:rsid w:val="00B410EE"/>
    <w:rsid w:val="00B41946"/>
    <w:rsid w:val="00B4369C"/>
    <w:rsid w:val="00B443E9"/>
    <w:rsid w:val="00B44E79"/>
    <w:rsid w:val="00B453DF"/>
    <w:rsid w:val="00B52DA5"/>
    <w:rsid w:val="00B55292"/>
    <w:rsid w:val="00B57EAB"/>
    <w:rsid w:val="00B60132"/>
    <w:rsid w:val="00B64933"/>
    <w:rsid w:val="00B64949"/>
    <w:rsid w:val="00B655D0"/>
    <w:rsid w:val="00B75198"/>
    <w:rsid w:val="00B81284"/>
    <w:rsid w:val="00B8202D"/>
    <w:rsid w:val="00B84589"/>
    <w:rsid w:val="00B857F1"/>
    <w:rsid w:val="00B87BB8"/>
    <w:rsid w:val="00B9117B"/>
    <w:rsid w:val="00B929FD"/>
    <w:rsid w:val="00B9422F"/>
    <w:rsid w:val="00B95759"/>
    <w:rsid w:val="00B95B99"/>
    <w:rsid w:val="00B95F69"/>
    <w:rsid w:val="00BA19CC"/>
    <w:rsid w:val="00BA53E0"/>
    <w:rsid w:val="00BA7FC5"/>
    <w:rsid w:val="00BB12B2"/>
    <w:rsid w:val="00BB36BA"/>
    <w:rsid w:val="00BB62BA"/>
    <w:rsid w:val="00BC2015"/>
    <w:rsid w:val="00BC228E"/>
    <w:rsid w:val="00BC3352"/>
    <w:rsid w:val="00BC532D"/>
    <w:rsid w:val="00BC5DFE"/>
    <w:rsid w:val="00BC6CDF"/>
    <w:rsid w:val="00BC71B0"/>
    <w:rsid w:val="00BD5727"/>
    <w:rsid w:val="00BE27D6"/>
    <w:rsid w:val="00BE6A10"/>
    <w:rsid w:val="00BF58D5"/>
    <w:rsid w:val="00BF597E"/>
    <w:rsid w:val="00C028B7"/>
    <w:rsid w:val="00C0299D"/>
    <w:rsid w:val="00C03098"/>
    <w:rsid w:val="00C0339F"/>
    <w:rsid w:val="00C03F82"/>
    <w:rsid w:val="00C1018A"/>
    <w:rsid w:val="00C14685"/>
    <w:rsid w:val="00C173F0"/>
    <w:rsid w:val="00C31264"/>
    <w:rsid w:val="00C31C73"/>
    <w:rsid w:val="00C34DC2"/>
    <w:rsid w:val="00C37D15"/>
    <w:rsid w:val="00C42B88"/>
    <w:rsid w:val="00C45C74"/>
    <w:rsid w:val="00C46917"/>
    <w:rsid w:val="00C46B78"/>
    <w:rsid w:val="00C513E5"/>
    <w:rsid w:val="00C515AC"/>
    <w:rsid w:val="00C51A36"/>
    <w:rsid w:val="00C53CCD"/>
    <w:rsid w:val="00C548BE"/>
    <w:rsid w:val="00C55228"/>
    <w:rsid w:val="00C578A6"/>
    <w:rsid w:val="00C57AF9"/>
    <w:rsid w:val="00C643B0"/>
    <w:rsid w:val="00C67E19"/>
    <w:rsid w:val="00C67E47"/>
    <w:rsid w:val="00C71E85"/>
    <w:rsid w:val="00C73543"/>
    <w:rsid w:val="00C74F8C"/>
    <w:rsid w:val="00C75B42"/>
    <w:rsid w:val="00C81ACE"/>
    <w:rsid w:val="00C85031"/>
    <w:rsid w:val="00C85583"/>
    <w:rsid w:val="00C86F9B"/>
    <w:rsid w:val="00C87FEE"/>
    <w:rsid w:val="00C90DD2"/>
    <w:rsid w:val="00C911DA"/>
    <w:rsid w:val="00C920A9"/>
    <w:rsid w:val="00CA1035"/>
    <w:rsid w:val="00CA22B6"/>
    <w:rsid w:val="00CA5A02"/>
    <w:rsid w:val="00CA6D75"/>
    <w:rsid w:val="00CB0B69"/>
    <w:rsid w:val="00CB11CC"/>
    <w:rsid w:val="00CB21C8"/>
    <w:rsid w:val="00CB254E"/>
    <w:rsid w:val="00CB260B"/>
    <w:rsid w:val="00CB2BCA"/>
    <w:rsid w:val="00CB780D"/>
    <w:rsid w:val="00CC0FFF"/>
    <w:rsid w:val="00CC3C67"/>
    <w:rsid w:val="00CC5710"/>
    <w:rsid w:val="00CD3512"/>
    <w:rsid w:val="00CD5A88"/>
    <w:rsid w:val="00CE2A9E"/>
    <w:rsid w:val="00CE315A"/>
    <w:rsid w:val="00CE7591"/>
    <w:rsid w:val="00CE7BE1"/>
    <w:rsid w:val="00CF147A"/>
    <w:rsid w:val="00CF1726"/>
    <w:rsid w:val="00CF46F8"/>
    <w:rsid w:val="00CF615B"/>
    <w:rsid w:val="00CF6266"/>
    <w:rsid w:val="00CF6C5C"/>
    <w:rsid w:val="00CF6FBA"/>
    <w:rsid w:val="00D02852"/>
    <w:rsid w:val="00D02F7F"/>
    <w:rsid w:val="00D04468"/>
    <w:rsid w:val="00D04BC5"/>
    <w:rsid w:val="00D06F59"/>
    <w:rsid w:val="00D073F6"/>
    <w:rsid w:val="00D13798"/>
    <w:rsid w:val="00D214D8"/>
    <w:rsid w:val="00D216DF"/>
    <w:rsid w:val="00D2302E"/>
    <w:rsid w:val="00D2691C"/>
    <w:rsid w:val="00D3340A"/>
    <w:rsid w:val="00D3392D"/>
    <w:rsid w:val="00D35060"/>
    <w:rsid w:val="00D35353"/>
    <w:rsid w:val="00D35B64"/>
    <w:rsid w:val="00D35FC3"/>
    <w:rsid w:val="00D363BF"/>
    <w:rsid w:val="00D37C06"/>
    <w:rsid w:val="00D37F3C"/>
    <w:rsid w:val="00D429D7"/>
    <w:rsid w:val="00D44AD0"/>
    <w:rsid w:val="00D458E8"/>
    <w:rsid w:val="00D47627"/>
    <w:rsid w:val="00D5229B"/>
    <w:rsid w:val="00D55BC5"/>
    <w:rsid w:val="00D55E69"/>
    <w:rsid w:val="00D562F6"/>
    <w:rsid w:val="00D56512"/>
    <w:rsid w:val="00D566B4"/>
    <w:rsid w:val="00D624A3"/>
    <w:rsid w:val="00D63565"/>
    <w:rsid w:val="00D75B5B"/>
    <w:rsid w:val="00D8064B"/>
    <w:rsid w:val="00D8388C"/>
    <w:rsid w:val="00D87E15"/>
    <w:rsid w:val="00D95656"/>
    <w:rsid w:val="00D96342"/>
    <w:rsid w:val="00D96755"/>
    <w:rsid w:val="00D9790F"/>
    <w:rsid w:val="00D97B82"/>
    <w:rsid w:val="00DA0DF0"/>
    <w:rsid w:val="00DA1244"/>
    <w:rsid w:val="00DA53CD"/>
    <w:rsid w:val="00DA644D"/>
    <w:rsid w:val="00DA6E75"/>
    <w:rsid w:val="00DA7616"/>
    <w:rsid w:val="00DB46AB"/>
    <w:rsid w:val="00DB6276"/>
    <w:rsid w:val="00DB7121"/>
    <w:rsid w:val="00DC44CE"/>
    <w:rsid w:val="00DC4F7D"/>
    <w:rsid w:val="00DC5865"/>
    <w:rsid w:val="00DC6E5C"/>
    <w:rsid w:val="00DD1C8E"/>
    <w:rsid w:val="00DD55F5"/>
    <w:rsid w:val="00DE146D"/>
    <w:rsid w:val="00DE2D80"/>
    <w:rsid w:val="00DE6FCE"/>
    <w:rsid w:val="00DE705C"/>
    <w:rsid w:val="00DF1363"/>
    <w:rsid w:val="00DF3ECC"/>
    <w:rsid w:val="00DF4787"/>
    <w:rsid w:val="00DF76DB"/>
    <w:rsid w:val="00E02739"/>
    <w:rsid w:val="00E038E4"/>
    <w:rsid w:val="00E063C6"/>
    <w:rsid w:val="00E12BF8"/>
    <w:rsid w:val="00E13CEC"/>
    <w:rsid w:val="00E13D9A"/>
    <w:rsid w:val="00E14380"/>
    <w:rsid w:val="00E21843"/>
    <w:rsid w:val="00E25215"/>
    <w:rsid w:val="00E277B2"/>
    <w:rsid w:val="00E32D13"/>
    <w:rsid w:val="00E35ABC"/>
    <w:rsid w:val="00E43822"/>
    <w:rsid w:val="00E44012"/>
    <w:rsid w:val="00E440D7"/>
    <w:rsid w:val="00E442C3"/>
    <w:rsid w:val="00E44B66"/>
    <w:rsid w:val="00E52DEB"/>
    <w:rsid w:val="00E534B0"/>
    <w:rsid w:val="00E54035"/>
    <w:rsid w:val="00E54B43"/>
    <w:rsid w:val="00E5518D"/>
    <w:rsid w:val="00E610A0"/>
    <w:rsid w:val="00E62631"/>
    <w:rsid w:val="00E62996"/>
    <w:rsid w:val="00E63714"/>
    <w:rsid w:val="00E64A51"/>
    <w:rsid w:val="00E66E67"/>
    <w:rsid w:val="00E676F9"/>
    <w:rsid w:val="00E7040E"/>
    <w:rsid w:val="00E70928"/>
    <w:rsid w:val="00E764D2"/>
    <w:rsid w:val="00E769D5"/>
    <w:rsid w:val="00E77648"/>
    <w:rsid w:val="00E80989"/>
    <w:rsid w:val="00E8200F"/>
    <w:rsid w:val="00E910C0"/>
    <w:rsid w:val="00E92703"/>
    <w:rsid w:val="00E93BC8"/>
    <w:rsid w:val="00E9449D"/>
    <w:rsid w:val="00E97424"/>
    <w:rsid w:val="00EA10B1"/>
    <w:rsid w:val="00EA3C65"/>
    <w:rsid w:val="00EA48AE"/>
    <w:rsid w:val="00EA55F7"/>
    <w:rsid w:val="00EA6AD7"/>
    <w:rsid w:val="00EA7BEC"/>
    <w:rsid w:val="00EB0164"/>
    <w:rsid w:val="00EB2329"/>
    <w:rsid w:val="00EB4FD0"/>
    <w:rsid w:val="00EB5DF5"/>
    <w:rsid w:val="00EB65F7"/>
    <w:rsid w:val="00EC42F5"/>
    <w:rsid w:val="00EC5062"/>
    <w:rsid w:val="00EC73DA"/>
    <w:rsid w:val="00ED0F62"/>
    <w:rsid w:val="00ED22E3"/>
    <w:rsid w:val="00EF0B04"/>
    <w:rsid w:val="00EF36E7"/>
    <w:rsid w:val="00F02F60"/>
    <w:rsid w:val="00F03382"/>
    <w:rsid w:val="00F0431B"/>
    <w:rsid w:val="00F06D09"/>
    <w:rsid w:val="00F0715C"/>
    <w:rsid w:val="00F11201"/>
    <w:rsid w:val="00F11C03"/>
    <w:rsid w:val="00F14D99"/>
    <w:rsid w:val="00F23B35"/>
    <w:rsid w:val="00F23FF4"/>
    <w:rsid w:val="00F31115"/>
    <w:rsid w:val="00F32CB9"/>
    <w:rsid w:val="00F33729"/>
    <w:rsid w:val="00F35CD7"/>
    <w:rsid w:val="00F3666E"/>
    <w:rsid w:val="00F452BD"/>
    <w:rsid w:val="00F507DD"/>
    <w:rsid w:val="00F51005"/>
    <w:rsid w:val="00F51B53"/>
    <w:rsid w:val="00F5492A"/>
    <w:rsid w:val="00F5511A"/>
    <w:rsid w:val="00F55C97"/>
    <w:rsid w:val="00F55DAA"/>
    <w:rsid w:val="00F606E1"/>
    <w:rsid w:val="00F657C4"/>
    <w:rsid w:val="00F6739D"/>
    <w:rsid w:val="00F74DB4"/>
    <w:rsid w:val="00F763FF"/>
    <w:rsid w:val="00F80C36"/>
    <w:rsid w:val="00F83639"/>
    <w:rsid w:val="00F840C3"/>
    <w:rsid w:val="00F842BF"/>
    <w:rsid w:val="00F856F5"/>
    <w:rsid w:val="00F87F8F"/>
    <w:rsid w:val="00F90091"/>
    <w:rsid w:val="00F95049"/>
    <w:rsid w:val="00F956F5"/>
    <w:rsid w:val="00F977FD"/>
    <w:rsid w:val="00FA0833"/>
    <w:rsid w:val="00FA1505"/>
    <w:rsid w:val="00FA350D"/>
    <w:rsid w:val="00FA60D4"/>
    <w:rsid w:val="00FB03C3"/>
    <w:rsid w:val="00FB20A6"/>
    <w:rsid w:val="00FB3FC7"/>
    <w:rsid w:val="00FB5A65"/>
    <w:rsid w:val="00FB6EF2"/>
    <w:rsid w:val="00FB7834"/>
    <w:rsid w:val="00FB7DB5"/>
    <w:rsid w:val="00FB7EC7"/>
    <w:rsid w:val="00FC35EF"/>
    <w:rsid w:val="00FC38C8"/>
    <w:rsid w:val="00FC6FE0"/>
    <w:rsid w:val="00FD1448"/>
    <w:rsid w:val="00FD2869"/>
    <w:rsid w:val="00FD3AB4"/>
    <w:rsid w:val="00FD5EE5"/>
    <w:rsid w:val="00FD72A6"/>
    <w:rsid w:val="00FE065B"/>
    <w:rsid w:val="00FE09C9"/>
    <w:rsid w:val="00FE3B1D"/>
    <w:rsid w:val="00FF68FF"/>
    <w:rsid w:val="079B13F6"/>
    <w:rsid w:val="108219C2"/>
    <w:rsid w:val="1C2E287A"/>
    <w:rsid w:val="269539F6"/>
    <w:rsid w:val="45A24E82"/>
    <w:rsid w:val="4C780151"/>
    <w:rsid w:val="5EA12B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Char"/>
    <w:basedOn w:val="7"/>
    <w:link w:val="4"/>
    <w:qFormat/>
    <w:uiPriority w:val="99"/>
    <w:rPr>
      <w:rFonts w:ascii="Times New Roman" w:hAnsi="Times New Roman" w:eastAsia="宋体" w:cs="Times New Roman"/>
      <w:sz w:val="18"/>
      <w:szCs w:val="18"/>
    </w:rPr>
  </w:style>
  <w:style w:type="character" w:customStyle="1" w:styleId="9">
    <w:name w:val="页脚 Char"/>
    <w:basedOn w:val="7"/>
    <w:link w:val="3"/>
    <w:qFormat/>
    <w:uiPriority w:val="99"/>
    <w:rPr>
      <w:rFonts w:ascii="Times New Roman" w:hAnsi="Times New Roman" w:eastAsia="宋体" w:cs="Times New Roman"/>
      <w:sz w:val="18"/>
      <w:szCs w:val="18"/>
    </w:rPr>
  </w:style>
  <w:style w:type="character" w:customStyle="1" w:styleId="10">
    <w:name w:val="批注框文本 Char"/>
    <w:basedOn w:val="7"/>
    <w:link w:val="2"/>
    <w:semiHidden/>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 w:type="character" w:customStyle="1" w:styleId="12">
    <w:name w:val="fontstyle01"/>
    <w:basedOn w:val="7"/>
    <w:qFormat/>
    <w:uiPriority w:val="0"/>
    <w:rPr>
      <w:rFonts w:hint="eastAsia" w:ascii="宋体" w:hAnsi="宋体" w:eastAsia="宋体"/>
      <w:color w:val="000000"/>
      <w:sz w:val="24"/>
      <w:szCs w:val="24"/>
    </w:rPr>
  </w:style>
  <w:style w:type="character" w:customStyle="1" w:styleId="13">
    <w:name w:val="fontstyle21"/>
    <w:basedOn w:val="7"/>
    <w:qFormat/>
    <w:uiPriority w:val="0"/>
    <w:rPr>
      <w:rFonts w:hint="default" w:ascii="Times New Roman" w:hAnsi="Times New Roman" w:cs="Times New Roman"/>
      <w:color w:val="000000"/>
      <w:sz w:val="24"/>
      <w:szCs w:val="24"/>
    </w:rPr>
  </w:style>
  <w:style w:type="paragraph" w:customStyle="1" w:styleId="14">
    <w:name w:val="东方正文"/>
    <w:basedOn w:val="1"/>
    <w:qFormat/>
    <w:uiPriority w:val="0"/>
    <w:pPr>
      <w:spacing w:line="400" w:lineRule="exact"/>
      <w:ind w:left="284" w:right="284"/>
    </w:pPr>
    <w:rPr>
      <w:sz w:val="24"/>
    </w:rPr>
  </w:style>
  <w:style w:type="paragraph" w:customStyle="1" w:styleId="15">
    <w:name w:val="_Style 2"/>
    <w:basedOn w:val="1"/>
    <w:qFormat/>
    <w:uiPriority w:val="34"/>
    <w:pPr>
      <w:widowControl/>
      <w:ind w:firstLine="420" w:firstLineChars="200"/>
      <w:jc w:val="left"/>
    </w:pPr>
    <w:rPr>
      <w:kern w:val="0"/>
      <w:sz w:val="20"/>
      <w:lang w:eastAsia="en-US"/>
    </w:rPr>
  </w:style>
  <w:style w:type="paragraph" w:styleId="16">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styleId="17">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1663</Words>
  <Characters>9484</Characters>
  <Lines>79</Lines>
  <Paragraphs>22</Paragraphs>
  <TotalTime>52</TotalTime>
  <ScaleCrop>false</ScaleCrop>
  <LinksUpToDate>false</LinksUpToDate>
  <CharactersWithSpaces>11125</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伍光华</cp:lastModifiedBy>
  <dcterms:modified xsi:type="dcterms:W3CDTF">2021-03-29T07:56:49Z</dcterms:modified>
  <cp:revision>1437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FB61B357FF9B4FD08C8DE83ECDF5DD36</vt:lpwstr>
  </property>
</Properties>
</file>