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18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149"/>
        <w:gridCol w:w="1160"/>
        <w:gridCol w:w="1237"/>
        <w:gridCol w:w="754"/>
        <w:gridCol w:w="1213"/>
        <w:gridCol w:w="1213"/>
        <w:gridCol w:w="673"/>
        <w:gridCol w:w="12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rFonts w:hint="eastAsia"/>
                <w:b/>
                <w:sz w:val="20"/>
                <w:lang w:val="en-US" w:eastAsia="zh-CN"/>
              </w:rPr>
              <w:t>安庆市</w:t>
            </w:r>
            <w:r>
              <w:rPr>
                <w:b/>
                <w:sz w:val="20"/>
              </w:rPr>
              <w:t>鑫华</w:t>
            </w:r>
            <w:r>
              <w:rPr>
                <w:rFonts w:hint="eastAsia"/>
                <w:b/>
                <w:sz w:val="20"/>
                <w:lang w:val="en-US" w:eastAsia="zh-CN"/>
              </w:rPr>
              <w:t>腈</w:t>
            </w:r>
            <w:r>
              <w:rPr>
                <w:b/>
                <w:sz w:val="20"/>
              </w:rPr>
              <w:t>工贸有限责任公司</w:t>
            </w:r>
            <w:bookmarkEnd w:id="3"/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sz w:val="21"/>
                <w:szCs w:val="21"/>
              </w:rPr>
            </w:pPr>
            <w:bookmarkStart w:id="4" w:name="专业代码"/>
            <w:r>
              <w:rPr>
                <w:b/>
                <w:sz w:val="20"/>
              </w:rPr>
              <w:t>Q：</w:t>
            </w:r>
            <w:r>
              <w:rPr>
                <w:sz w:val="21"/>
                <w:szCs w:val="21"/>
              </w:rPr>
              <w:t>04.02.00;14.02.01;14.02.02; 17.12.04；29.11.05;31.04.01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</w:t>
            </w:r>
            <w:r>
              <w:rPr>
                <w:sz w:val="21"/>
                <w:szCs w:val="21"/>
              </w:rPr>
              <w:t>04.02.00;14.02.01;14.02.02; 17.12.04；29.11.05;31.04.01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</w:t>
            </w:r>
            <w:bookmarkEnd w:id="4"/>
            <w:r>
              <w:rPr>
                <w:sz w:val="21"/>
                <w:szCs w:val="21"/>
              </w:rPr>
              <w:t>04.02.00;14.02.01;14.02.02; 17.12.04；29.11.05;31.04.01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伍光华、马佳、张磊</w:t>
            </w: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QEO：</w:t>
            </w:r>
            <w:r>
              <w:rPr>
                <w:szCs w:val="21"/>
              </w:rPr>
              <w:t>04.02.00;14.02.01;14.02.02; 17.12.04；29.11.05;31.04.01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马佳</w:t>
            </w:r>
          </w:p>
        </w:tc>
        <w:tc>
          <w:tcPr>
            <w:tcW w:w="11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67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67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53975</wp:posOffset>
                  </wp:positionV>
                  <wp:extent cx="3841750" cy="2292350"/>
                  <wp:effectExtent l="0" t="0" r="6350" b="635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750" cy="229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tabs>
                <w:tab w:val="left" w:pos="6896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等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关键过程有：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金属和非金属垫片的下料过程；缠绕和热处理过程为特殊过程；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需严格按照作业指导书生产，重点控制温度、压力、时间。 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重大环境因素：</w:t>
            </w:r>
            <w:r>
              <w:rPr>
                <w:rFonts w:hint="eastAsia"/>
                <w:sz w:val="18"/>
                <w:szCs w:val="18"/>
              </w:rPr>
              <w:t>潜在火灾、固废排放、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能源的消耗、危险化学品的泄漏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 控制措施：集中收集外售至废品回收站；选用低噪声设备，合理布局，隔声减震，厂房隔音；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设备、电路定期检修、不定期检查，提高安全意识；做好火灾预防措施。一旦发生按相关应急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预案执行；制定目标、指标；设备、电路定期检修、降低跑冒滴漏。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11"/>
              <w:tabs>
                <w:tab w:val="left" w:pos="312"/>
              </w:tabs>
              <w:rPr>
                <w:bCs w:val="0"/>
                <w:spacing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重大危险源：</w:t>
            </w:r>
            <w:r>
              <w:rPr>
                <w:rFonts w:hint="eastAsia"/>
                <w:bCs w:val="0"/>
                <w:spacing w:val="0"/>
                <w:sz w:val="20"/>
                <w:szCs w:val="20"/>
              </w:rPr>
              <w:t>潜在火灾、</w:t>
            </w:r>
            <w:r>
              <w:rPr>
                <w:rFonts w:hint="eastAsia"/>
                <w:bCs w:val="0"/>
                <w:spacing w:val="0"/>
                <w:sz w:val="20"/>
                <w:szCs w:val="20"/>
                <w:lang w:val="en-US" w:eastAsia="zh-CN"/>
              </w:rPr>
              <w:t>危化品泄漏</w:t>
            </w:r>
            <w:r>
              <w:rPr>
                <w:rFonts w:hint="eastAsia"/>
                <w:bCs w:val="0"/>
                <w:spacing w:val="0"/>
                <w:sz w:val="20"/>
                <w:szCs w:val="20"/>
              </w:rPr>
              <w:t>、触电、机械伤害等。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 控制措施：目标指标和管理方案、管理规定、运行控制、应急预案、检查控制、教育培训。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中华人民共和国产品质量法、环保法、安全生产法，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val="en-US" w:eastAsia="zh-CN"/>
              </w:rPr>
              <w:t>GBT12625-90袋式除尘器用滤料及滤袋技术条件、GBT4622.3-2007缠绕式垫片技术条件、GB9130-88钢制管法兰连接用金属垫片条件、HG/T20610-2009钢制管法兰连接用非金属垫片、GBT8946-2013塑料编织袋通用技术要求、QBT3811-1999塑料打包带等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检验外观、规格、力学性能。 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  <w:tc>
          <w:tcPr>
            <w:tcW w:w="121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伍光华、马佳、张磊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2021.3.23</w:t>
      </w:r>
      <w:r>
        <w:rPr>
          <w:rFonts w:hint="eastAsia" w:ascii="宋体"/>
          <w:b/>
          <w:sz w:val="22"/>
          <w:szCs w:val="22"/>
        </w:rPr>
        <w:t xml:space="preserve"> 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2021.3.23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ascii="宋体"/>
          <w:b/>
          <w:spacing w:val="-6"/>
          <w:sz w:val="20"/>
        </w:rPr>
      </w:pPr>
      <w:bookmarkStart w:id="5" w:name="_GoBack"/>
      <w:bookmarkEnd w:id="5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A276F32"/>
    <w:rsid w:val="4E676A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2021-03-25T07:18:32Z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418B26A4BCAB4487AF951EF90C1ED5E8</vt:lpwstr>
  </property>
</Properties>
</file>