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管理层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张明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尉晓光、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杨金平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姜小清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2021.3.25-26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916100007197295485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混凝土,混凝土构件制造和销售;水泥批发和零售,混凝土外加剂制造及销售,混凝土技术咨询服务,机械设备技术咨询服务;机械设备租赁,道路普通货物运输(危险品除外).(依法须经批准的项目,经相关部门批准后方可开展经营活动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 xml:space="preserve"> </w:t>
            </w:r>
            <w:bookmarkStart w:id="0" w:name="审核范围"/>
            <w:r>
              <w:rPr>
                <w:u w:val="single"/>
              </w:rPr>
              <w:t>位于陕西省西安市长安区韦曲街道办事处枣园村，涉及商品混凝土、水泥建筑制品、建筑材料生产和运输所涉及的能源管理活动</w:t>
            </w:r>
            <w:bookmarkEnd w:id="0"/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建筑业企业资质证书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D361056182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2023年06月13日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预拌混凝士专业承包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>不分等级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陕西省西安市长安区韦曲街道办事处枣园村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与《营业执照》和《建筑业企业资质证书》内容一致。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陕西省西安市长安区韦曲街道办事处枣园村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  <w:p>
            <w:pPr>
              <w:pStyle w:val="3"/>
              <w:rPr>
                <w:color w:val="000000"/>
              </w:rPr>
            </w:pPr>
          </w:p>
          <w:p>
            <w:pPr>
              <w:pStyle w:val="3"/>
              <w:rPr>
                <w:color w:val="000000"/>
              </w:rPr>
            </w:pPr>
          </w:p>
          <w:p>
            <w:pPr>
              <w:pStyle w:val="3"/>
              <w:rPr>
                <w:color w:val="000000"/>
              </w:rPr>
            </w:pPr>
          </w:p>
          <w:p>
            <w:pPr>
              <w:pStyle w:val="3"/>
              <w:rPr>
                <w:color w:val="000000"/>
              </w:rPr>
            </w:pPr>
          </w:p>
          <w:p>
            <w:pPr>
              <w:pStyle w:val="3"/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生产/服务流程图：</w:t>
            </w:r>
          </w:p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购货（需方）单位提出委托和混凝土质量技术要求→双方签订供需合同并明确双方责任→下达生产任务→请混凝土申配合比、依据配合比备料、进行原材料检验→测砂石含水率、调整砂石和用水量、调整好的配合比输入微机→按配合比要求计量（称重）→搅拌（定时控制）→出料（测塌落度、制作试块）→装入罐车→运输（至需方指定地点）→浇筑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质量、环境、职业健康体系</w:t>
            </w:r>
            <w:r>
              <w:rPr>
                <w:rFonts w:hint="eastAsia"/>
                <w:color w:val="000000"/>
                <w:szCs w:val="21"/>
              </w:rPr>
              <w:t>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，能源体系总计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165人。</w:t>
            </w:r>
            <w:r>
              <w:rPr>
                <w:rFonts w:hint="eastAsia"/>
                <w:color w:val="000000"/>
                <w:szCs w:val="21"/>
              </w:rPr>
              <w:t>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131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三班（例如：早班8:00- 16 :00；晚班16 :00- 24 :00；夜班24 :00-次日 08 :00）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能源体系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能源体系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</w:t>
            </w:r>
            <w:r>
              <w:rPr>
                <w:rFonts w:hint="eastAsia"/>
                <w:color w:val="000000"/>
                <w:szCs w:val="21"/>
              </w:rPr>
              <w:t xml:space="preserve">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运输部分外</w:t>
            </w:r>
            <w:r>
              <w:rPr>
                <w:rFonts w:hint="eastAsia" w:cs="Times New Roman"/>
                <w:color w:val="000000"/>
                <w:szCs w:val="18"/>
                <w:u w:val="single"/>
                <w:lang w:val="en-US" w:eastAsia="zh-CN"/>
              </w:rPr>
              <w:t>包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组织文件化的管理方针已制定，能源方针：</w:t>
            </w:r>
          </w:p>
          <w:p>
            <w:pPr>
              <w:pStyle w:val="17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遵守法规 清洁生产；节能降耗 创新改造；能耗限额 持续改进</w:t>
            </w:r>
          </w:p>
          <w:p>
            <w:pPr>
              <w:spacing w:line="360" w:lineRule="auto"/>
              <w:ind w:firstLine="315" w:firstLineChars="15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CN"/>
              </w:rPr>
              <w:t>能源体系</w:t>
            </w:r>
            <w:r>
              <w:rPr>
                <w:rFonts w:hint="eastAsia"/>
                <w:lang w:val="en-US" w:eastAsia="zh-CN"/>
              </w:rPr>
              <w:t>：依据能源管理方针，结合公司实际，建立的能源管理目标和指标为：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文件发放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标语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展板</w:t>
            </w:r>
            <w:r>
              <w:t xml:space="preserve"> </w:t>
            </w:r>
            <w:r>
              <w:rPr>
                <w:rFonts w:hint="eastAsia"/>
              </w:rPr>
              <w:t>□网站</w:t>
            </w:r>
            <w:r>
              <w:t xml:space="preserve">  </w:t>
            </w:r>
            <w:r>
              <w:rPr>
                <w:rFonts w:hint="eastAsia"/>
              </w:rPr>
              <w:t>□员工手册</w:t>
            </w:r>
            <w:r>
              <w:t xml:space="preserve"> </w:t>
            </w:r>
            <w:r>
              <w:rPr>
                <w:rFonts w:hint="eastAsia"/>
              </w:rPr>
              <w:t>□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 xml:space="preserve">组织文件化的管理目标已制定，内容为： </w:t>
            </w:r>
            <w:r>
              <w:t xml:space="preserve">                                              </w:t>
            </w:r>
          </w:p>
          <w:tbl>
            <w:tblPr>
              <w:tblStyle w:val="9"/>
              <w:tblpPr w:leftFromText="180" w:rightFromText="180" w:vertAnchor="text" w:horzAnchor="page" w:tblpXSpec="center" w:tblpY="288"/>
              <w:tblOverlap w:val="never"/>
              <w:tblW w:w="806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3545"/>
              <w:gridCol w:w="2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27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级别</w:t>
                  </w:r>
                </w:p>
              </w:tc>
              <w:tc>
                <w:tcPr>
                  <w:tcW w:w="3545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目标</w:t>
                  </w:r>
                </w:p>
              </w:tc>
              <w:tc>
                <w:tcPr>
                  <w:tcW w:w="27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27" w:type="dxa"/>
                  <w:vMerge w:val="restart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公司级</w:t>
                  </w:r>
                </w:p>
              </w:tc>
              <w:tc>
                <w:tcPr>
                  <w:tcW w:w="3545" w:type="dxa"/>
                  <w:vMerge w:val="restart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 生产节能最大化</w:t>
                  </w:r>
                </w:p>
              </w:tc>
              <w:tc>
                <w:tcPr>
                  <w:tcW w:w="27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 ≦250(tce)（生产）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27" w:type="dxa"/>
                  <w:vMerge w:val="continue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545" w:type="dxa"/>
                  <w:vMerge w:val="continue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 ≦50 (tce)（运输）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27" w:type="dxa"/>
                  <w:vMerge w:val="restart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生产部级</w:t>
                  </w:r>
                </w:p>
              </w:tc>
              <w:tc>
                <w:tcPr>
                  <w:tcW w:w="3545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单方生产综合能耗 III级标准</w:t>
                  </w:r>
                </w:p>
              </w:tc>
              <w:tc>
                <w:tcPr>
                  <w:tcW w:w="27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≦1.10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27" w:type="dxa"/>
                  <w:vMerge w:val="continue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545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单方运输综合能耗I级标准</w:t>
                  </w:r>
                </w:p>
              </w:tc>
              <w:tc>
                <w:tcPr>
                  <w:tcW w:w="27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 xml:space="preserve">≦1.85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27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辅助部门级</w:t>
                  </w:r>
                </w:p>
              </w:tc>
              <w:tc>
                <w:tcPr>
                  <w:tcW w:w="3545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同公司级要求</w:t>
                  </w:r>
                </w:p>
              </w:tc>
              <w:tc>
                <w:tcPr>
                  <w:tcW w:w="2793" w:type="dxa"/>
                  <w:noWrap w:val="0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4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同公司级要求</w:t>
                  </w:r>
                </w:p>
              </w:tc>
            </w:tr>
          </w:tbl>
          <w:p>
            <w:pPr>
              <w:widowControl/>
              <w:jc w:val="center"/>
            </w:pPr>
          </w:p>
          <w:p>
            <w:pPr>
              <w:pStyle w:val="3"/>
              <w:rPr>
                <w:color w:val="000000"/>
                <w:szCs w:val="18"/>
                <w:shd w:val="pct10" w:color="auto" w:fill="FFFFFF"/>
              </w:rPr>
            </w:pPr>
          </w:p>
          <w:p>
            <w:pPr>
              <w:pStyle w:val="3"/>
              <w:rPr>
                <w:color w:val="000000"/>
                <w:szCs w:val="18"/>
                <w:shd w:val="pct10" w:color="auto" w:fill="FFFFFF"/>
              </w:rPr>
            </w:pPr>
          </w:p>
          <w:p>
            <w:pPr>
              <w:pStyle w:val="3"/>
              <w:rPr>
                <w:color w:val="000000"/>
                <w:szCs w:val="18"/>
                <w:shd w:val="pct10" w:color="auto" w:fill="FFFFFF"/>
              </w:rPr>
            </w:pPr>
          </w:p>
          <w:p>
            <w:pPr>
              <w:pStyle w:val="3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自管理体系建立后，于2020年11月20～21日实施了内部审核；记录包括：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 2020.12.25实施了管理评审；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无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行业标准、□地方标准、□企业标准、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检测部门名称：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；</w:t>
            </w:r>
            <w:r>
              <w:rPr>
                <w:color w:val="000000"/>
                <w:szCs w:val="21"/>
              </w:rPr>
              <w:t xml:space="preserve">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混凝土搅拌站、发电机、轮胎装载机、混凝土搅拌输送车、混凝土泵车、混凝土车载泵、湿混回收处理设备、扫路车、洗车机皮带电机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螺旋机电机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砂石分离机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沉淀池电机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水泵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等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电能表、水表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起重机械；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压力容器；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压力管道；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2020年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        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有车间安全培训    如：有害气体检测装置使用培训</w:t>
            </w:r>
            <w:r>
              <w:rPr>
                <w:rFonts w:hint="eastAsia"/>
                <w:color w:val="000000"/>
                <w:szCs w:val="18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COD监测仪   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酸度计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lang w:val="en-US" w:eastAsia="zh-CN"/>
              </w:rPr>
              <w:t>对噪声及粉尘的监控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C00000"/>
                <w:u w:val="single"/>
                <w:lang w:val="en-US" w:eastAsia="zh-CN"/>
              </w:rPr>
              <w:t>提供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在线检测报告</w:t>
            </w:r>
            <w:r>
              <w:rPr>
                <w:rFonts w:hint="eastAsia"/>
                <w:color w:val="000000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  <w:szCs w:val="22"/>
              </w:rPr>
              <w:sym w:font="Wingdings" w:char="00A8"/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机械伤害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触电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化学伤害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噪声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粉尘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危险作业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高低温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压力容器爆炸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</w:rPr>
              <w:t xml:space="preserve">火灾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柴油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汽油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  <w:tbl>
            <w:tblPr>
              <w:tblStyle w:val="9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Times New Roman" w:hAnsi="Times New Roman" w:cs="Times New Roman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  <w:highlight w:val="none"/>
                      <w:lang w:val="en-US" w:eastAsia="zh-CN"/>
                    </w:rPr>
                    <w:t xml:space="preserve">单方生产综合能耗 III级，经计算≦1.10 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szCs w:val="21"/>
                      <w:highlight w:val="none"/>
                      <w:lang w:val="en-US" w:eastAsia="zh-CN"/>
                    </w:rPr>
                    <w:t xml:space="preserve">单方运输综合能耗I级，经计算≦1.85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三级单位收集本组织的水电油数据进行分析给出结论；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  <w:lang w:val="en-US" w:eastAsia="zh-CN"/>
                    </w:rPr>
                    <w:t>2020年度目标指标达成；</w:t>
                  </w: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  <w:t>混凝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  <w:t>土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生产量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540t（2020~2021年度）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u w:val="single"/>
                <w:vertAlign w:val="baseline"/>
                <w:lang w:val="en-US" w:eastAsia="zh-CN" w:bidi="ar-SA"/>
              </w:rPr>
              <w:t>。</w:t>
            </w:r>
            <w:r>
              <w:rPr>
                <w:rFonts w:hint="eastAsia"/>
                <w:color w:val="000000"/>
                <w:szCs w:val="18"/>
              </w:rPr>
              <w:t>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660t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新购置车辆及生产设备节能等级达标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FE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6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823AC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4E7CE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3A5109"/>
    <w:rsid w:val="144E55A7"/>
    <w:rsid w:val="14BA7805"/>
    <w:rsid w:val="16674354"/>
    <w:rsid w:val="16950047"/>
    <w:rsid w:val="184C61B5"/>
    <w:rsid w:val="18A12E8E"/>
    <w:rsid w:val="1B0C55E1"/>
    <w:rsid w:val="1B121C61"/>
    <w:rsid w:val="1B48360A"/>
    <w:rsid w:val="1B8D4D03"/>
    <w:rsid w:val="1B917B85"/>
    <w:rsid w:val="1B9B6ABA"/>
    <w:rsid w:val="1C335B99"/>
    <w:rsid w:val="1C5A0E97"/>
    <w:rsid w:val="1C633876"/>
    <w:rsid w:val="1CB32766"/>
    <w:rsid w:val="1EAA0B75"/>
    <w:rsid w:val="1F022080"/>
    <w:rsid w:val="1F4D1700"/>
    <w:rsid w:val="1F8B7D7A"/>
    <w:rsid w:val="1FA53B1A"/>
    <w:rsid w:val="1FEE223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D802CC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C6457A0"/>
    <w:rsid w:val="2CC2053B"/>
    <w:rsid w:val="2DEB5B9F"/>
    <w:rsid w:val="2EE13094"/>
    <w:rsid w:val="2F2B229D"/>
    <w:rsid w:val="30A94000"/>
    <w:rsid w:val="30D4357D"/>
    <w:rsid w:val="31230AE2"/>
    <w:rsid w:val="322F7AAD"/>
    <w:rsid w:val="337866CB"/>
    <w:rsid w:val="33AC1E72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344D20"/>
    <w:rsid w:val="3D662E26"/>
    <w:rsid w:val="3EBF4EFB"/>
    <w:rsid w:val="40D80BB8"/>
    <w:rsid w:val="40D92CA7"/>
    <w:rsid w:val="413D1451"/>
    <w:rsid w:val="44E8380F"/>
    <w:rsid w:val="44FC1CFD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841863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384845"/>
    <w:rsid w:val="558E510B"/>
    <w:rsid w:val="5727729C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0CD67E6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0317A9"/>
    <w:rsid w:val="6BC3715D"/>
    <w:rsid w:val="6C1E4E37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140F9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67151E"/>
    <w:rsid w:val="75E954AA"/>
    <w:rsid w:val="75FF34EF"/>
    <w:rsid w:val="764C516C"/>
    <w:rsid w:val="76CC1AB2"/>
    <w:rsid w:val="785E4287"/>
    <w:rsid w:val="786730B1"/>
    <w:rsid w:val="78951B16"/>
    <w:rsid w:val="78B936C6"/>
    <w:rsid w:val="7A031D92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538"/>
    </w:pPr>
    <w:rPr>
      <w:sz w:val="28"/>
      <w:szCs w:val="28"/>
    </w:rPr>
  </w:style>
  <w:style w:type="paragraph" w:styleId="4">
    <w:name w:val="Body Text Indent"/>
    <w:basedOn w:val="1"/>
    <w:qFormat/>
    <w:uiPriority w:val="0"/>
    <w:pPr>
      <w:ind w:firstLine="425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7">
    <w:name w:val="样式 正文文本缩进 + 左侧:  2 字符 首行缩进:  2 字符"/>
    <w:basedOn w:val="4"/>
    <w:qFormat/>
    <w:uiPriority w:val="0"/>
    <w:pPr>
      <w:spacing w:line="360" w:lineRule="auto"/>
      <w:ind w:firstLine="420" w:firstLineChars="200"/>
      <w:jc w:val="both"/>
    </w:pPr>
    <w:rPr>
      <w:kern w:val="2"/>
      <w:sz w:val="21"/>
      <w:szCs w:val="21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2</TotalTime>
  <ScaleCrop>false</ScaleCrop>
  <LinksUpToDate>false</LinksUpToDate>
  <CharactersWithSpaces>18121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2021-04-08T13:08:30Z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D627786C1A20487B801797FBFDA3ACC8</vt:lpwstr>
  </property>
</Properties>
</file>