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四川陆路通劳务有限公司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Q:35.10.00</w:t>
            </w:r>
          </w:p>
          <w:p>
            <w:pPr>
              <w:spacing w:line="240" w:lineRule="exact"/>
              <w:jc w:val="center"/>
              <w:rPr>
                <w:b/>
                <w:color w:val="000000" w:themeColor="text1"/>
                <w:sz w:val="20"/>
                <w:szCs w:val="20"/>
              </w:rPr>
            </w:pPr>
            <w:r>
              <w:rPr>
                <w:b/>
                <w:color w:val="000000" w:themeColor="text1"/>
                <w:sz w:val="20"/>
                <w:szCs w:val="20"/>
              </w:rPr>
              <w:t>O:35.10.00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Q：GB/T19001-2016/ISO9001:2015,O：GB/T45001-2020 / ISO45001：2018</w:t>
      </w:r>
      <w:bookmarkEnd w:id="4"/>
    </w:p>
    <w:p>
      <w:pPr>
        <w:ind w:left="3" w:leftChars="-400" w:hanging="843" w:hangingChars="323"/>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四川陆路通劳务有限公司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成都市青羊区贝森北路5号1栋11层1103号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610031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成都市双流区西航港街道成白路社区9号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610200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吴坤国</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13550089109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冯展</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姚金莲</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Q：许可范围内的劳务派遣</w:t>
            </w:r>
          </w:p>
          <w:p>
            <w:pPr>
              <w:spacing w:line="320" w:lineRule="exact"/>
              <w:rPr>
                <w:rFonts w:ascii="宋体" w:hAnsi="宋体"/>
                <w:b/>
                <w:color w:val="000000" w:themeColor="text1"/>
                <w:sz w:val="20"/>
                <w:szCs w:val="20"/>
              </w:rPr>
            </w:pPr>
            <w:r>
              <w:rPr>
                <w:rFonts w:ascii="宋体" w:hAnsi="宋体"/>
                <w:b/>
                <w:color w:val="000000" w:themeColor="text1"/>
                <w:sz w:val="20"/>
                <w:szCs w:val="20"/>
              </w:rPr>
              <w:t>O：许可范围内的劳务派遣所涉及场所的相关职业健康安全管理活动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Q：35.10.00</w:t>
            </w:r>
          </w:p>
          <w:p>
            <w:pPr>
              <w:spacing w:line="320" w:lineRule="exact"/>
              <w:rPr>
                <w:rFonts w:ascii="宋体" w:hAnsi="宋体"/>
                <w:b/>
                <w:color w:val="000000" w:themeColor="text1"/>
                <w:sz w:val="20"/>
                <w:szCs w:val="20"/>
              </w:rPr>
            </w:pPr>
            <w:r>
              <w:rPr>
                <w:rFonts w:ascii="宋体" w:hAnsi="宋体"/>
                <w:b/>
                <w:color w:val="000000" w:themeColor="text1"/>
                <w:sz w:val="20"/>
                <w:szCs w:val="20"/>
              </w:rPr>
              <w:t>O：35.10.00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2020-08-10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行政人事部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项目部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w:t>
            </w:r>
            <w:r>
              <w:rPr>
                <w:rFonts w:hint="eastAsia" w:ascii="宋体" w:hAnsi="宋体"/>
                <w:b/>
                <w:color w:val="000000" w:themeColor="text1"/>
                <w:sz w:val="20"/>
                <w:szCs w:val="20"/>
                <w:lang w:val="en-US" w:eastAsia="zh-CN"/>
              </w:rPr>
              <w:t>劳务派遣管理、服务</w:t>
            </w:r>
            <w:r>
              <w:rPr>
                <w:rFonts w:hint="eastAsia" w:ascii="宋体" w:hAnsi="宋体"/>
                <w:b/>
                <w:color w:val="000000" w:themeColor="text1"/>
                <w:sz w:val="20"/>
                <w:szCs w:val="20"/>
              </w:rPr>
              <w:t>验收管理；服务过程管理；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销售部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lang w:val="en-US" w:eastAsia="zh-CN"/>
              </w:rPr>
              <w:t>销售过程管理；</w:t>
            </w:r>
            <w:r>
              <w:rPr>
                <w:rFonts w:hint="eastAsia" w:ascii="宋体" w:hAnsi="宋体"/>
                <w:b/>
                <w:color w:val="000000" w:themeColor="text1"/>
                <w:sz w:val="20"/>
                <w:szCs w:val="20"/>
              </w:rPr>
              <w:t>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246"/>
        <w:gridCol w:w="1046"/>
        <w:gridCol w:w="5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246"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046" w:type="dxa"/>
          </w:tcPr>
          <w:p>
            <w:pPr>
              <w:rPr>
                <w:b/>
                <w:color w:val="000000" w:themeColor="text1"/>
                <w:sz w:val="20"/>
                <w:szCs w:val="20"/>
              </w:rPr>
            </w:pPr>
            <w:r>
              <w:rPr>
                <w:rFonts w:hint="eastAsia"/>
                <w:b/>
                <w:color w:val="000000" w:themeColor="text1"/>
                <w:sz w:val="20"/>
                <w:szCs w:val="20"/>
              </w:rPr>
              <w:t>规格</w:t>
            </w:r>
          </w:p>
        </w:tc>
        <w:tc>
          <w:tcPr>
            <w:tcW w:w="561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ascii="宋体" w:hAnsi="宋体"/>
                <w:b/>
                <w:color w:val="000000" w:themeColor="text1"/>
                <w:sz w:val="20"/>
                <w:szCs w:val="20"/>
              </w:rPr>
              <w:t>许可范围内的劳务派遣</w:t>
            </w:r>
          </w:p>
        </w:tc>
        <w:tc>
          <w:tcPr>
            <w:tcW w:w="1246"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服务</w:t>
            </w:r>
          </w:p>
        </w:tc>
        <w:tc>
          <w:tcPr>
            <w:tcW w:w="1046" w:type="dxa"/>
          </w:tcPr>
          <w:p>
            <w:pPr>
              <w:rPr>
                <w:b/>
                <w:color w:val="000000" w:themeColor="text1"/>
                <w:sz w:val="20"/>
                <w:szCs w:val="20"/>
              </w:rPr>
            </w:pPr>
          </w:p>
        </w:tc>
        <w:tc>
          <w:tcPr>
            <w:tcW w:w="5613" w:type="dxa"/>
          </w:tcPr>
          <w:p>
            <w:pPr>
              <w:rPr>
                <w:b/>
                <w:color w:val="000000" w:themeColor="text1"/>
                <w:sz w:val="20"/>
                <w:szCs w:val="20"/>
              </w:rPr>
            </w:pPr>
            <w:r>
              <w:rPr>
                <w:rFonts w:hint="eastAsia"/>
                <w:b/>
                <w:sz w:val="20"/>
              </w:rPr>
              <w:t>人力资源服务规范 第8部分：培训服务</w:t>
            </w:r>
            <w:r>
              <w:rPr>
                <w:rFonts w:hint="eastAsia"/>
                <w:b/>
                <w:sz w:val="20"/>
                <w:lang w:eastAsia="zh-CN"/>
              </w:rPr>
              <w:t>、</w:t>
            </w:r>
            <w:r>
              <w:rPr>
                <w:rFonts w:hint="eastAsia"/>
                <w:b/>
                <w:sz w:val="20"/>
              </w:rPr>
              <w:t>人力资源劳务派遣服务规范</w:t>
            </w:r>
            <w:r>
              <w:rPr>
                <w:rFonts w:hint="eastAsia"/>
                <w:b/>
                <w:sz w:val="20"/>
                <w:lang w:eastAsia="zh-CN"/>
              </w:rPr>
              <w:t>、</w:t>
            </w:r>
            <w:r>
              <w:rPr>
                <w:rFonts w:hint="eastAsia"/>
                <w:b/>
                <w:sz w:val="20"/>
              </w:rPr>
              <w:t>人力资源服务规范 第12部分：劳务派遣</w:t>
            </w:r>
            <w:r>
              <w:rPr>
                <w:rFonts w:hint="eastAsia"/>
                <w:b/>
                <w:sz w:val="20"/>
                <w:lang w:eastAsia="zh-CN"/>
              </w:rPr>
              <w:t>、</w:t>
            </w:r>
            <w:r>
              <w:rPr>
                <w:rFonts w:hint="eastAsia"/>
                <w:b/>
                <w:sz w:val="20"/>
              </w:rPr>
              <w:t>劳务派遣暂行规定</w:t>
            </w:r>
            <w:r>
              <w:rPr>
                <w:rFonts w:hint="eastAsia"/>
                <w:b/>
                <w:sz w:val="20"/>
                <w:lang w:eastAsia="zh-CN"/>
              </w:rPr>
              <w:t>、</w:t>
            </w:r>
            <w:r>
              <w:rPr>
                <w:rFonts w:hint="eastAsia"/>
                <w:b/>
                <w:sz w:val="20"/>
              </w:rPr>
              <w:t>人力资源派遣服务规范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246" w:type="dxa"/>
          </w:tcPr>
          <w:p>
            <w:pPr>
              <w:rPr>
                <w:b/>
                <w:color w:val="000000" w:themeColor="text1"/>
                <w:sz w:val="20"/>
                <w:szCs w:val="20"/>
              </w:rPr>
            </w:pPr>
          </w:p>
        </w:tc>
        <w:tc>
          <w:tcPr>
            <w:tcW w:w="1046" w:type="dxa"/>
          </w:tcPr>
          <w:p>
            <w:pPr>
              <w:rPr>
                <w:b/>
                <w:color w:val="000000" w:themeColor="text1"/>
                <w:sz w:val="20"/>
                <w:szCs w:val="20"/>
              </w:rPr>
            </w:pPr>
          </w:p>
        </w:tc>
        <w:tc>
          <w:tcPr>
            <w:tcW w:w="561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24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Cs w:val="21"/>
              </w:rPr>
              <w:t>□</w:t>
            </w:r>
            <w:r>
              <w:rPr>
                <w:rFonts w:hint="eastAsia" w:ascii="宋体" w:hAnsi="宋体"/>
                <w:b/>
                <w:color w:val="000000" w:themeColor="text1"/>
                <w:sz w:val="20"/>
                <w:szCs w:val="20"/>
              </w:rPr>
              <w:t>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rPr>
                <w:rFonts w:ascii="Times New Roman" w:hAnsi="Times New Roman" w:eastAsia="宋体" w:cs="Times New Roman"/>
                <w:b/>
                <w:color w:val="000000" w:themeColor="text1"/>
                <w:kern w:val="2"/>
                <w:sz w:val="21"/>
                <w:szCs w:val="24"/>
                <w:lang w:val="en-US" w:eastAsia="zh-CN" w:bidi="ar-SA"/>
              </w:rPr>
            </w:pPr>
            <w:r>
              <w:rPr>
                <w:rFonts w:hint="eastAsia" w:ascii="宋体" w:hAnsi="宋体" w:cs="宋体"/>
                <w:color w:val="000000"/>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方针：信誉赢客户，服务创效益；环境方针：减少垃圾排放，提高环保意识！职业健康安全方针：以人为本，健康安全，持续改进！</w:t>
            </w:r>
            <w:r>
              <w:rPr>
                <w:rFonts w:hint="eastAsia" w:ascii="宋体" w:hAnsi="宋体"/>
                <w:color w:val="000000"/>
                <w:szCs w:val="21"/>
                <w:lang w:eastAsia="zh-CN"/>
              </w:rPr>
              <w:t>。</w:t>
            </w: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rFonts w:hint="eastAsia"/>
                <w:b/>
                <w:color w:val="000000" w:themeColor="text1"/>
              </w:rPr>
            </w:pPr>
            <w:r>
              <w:rPr>
                <w:rFonts w:hint="eastAsia"/>
                <w:b/>
                <w:color w:val="000000" w:themeColor="text1"/>
              </w:rPr>
              <w:t>风险识别与控制策划（QMS）</w:t>
            </w:r>
          </w:p>
          <w:p>
            <w:pPr>
              <w:numPr>
                <w:ilvl w:val="0"/>
                <w:numId w:val="0"/>
              </w:numPr>
              <w:spacing w:line="240" w:lineRule="exact"/>
              <w:ind w:left="0" w:leftChars="0" w:firstLine="0" w:firstLineChars="0"/>
              <w:rPr>
                <w:rFonts w:hint="eastAsia" w:ascii="Times New Roman" w:hAnsi="Times New Roman" w:eastAsia="宋体" w:cs="Times New Roman"/>
                <w:b/>
                <w:color w:val="000000" w:themeColor="text1"/>
                <w:kern w:val="2"/>
                <w:sz w:val="21"/>
                <w:szCs w:val="24"/>
                <w:lang w:val="en-US" w:eastAsia="zh-CN" w:bidi="ar-SA"/>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b/>
                <w:color w:val="000000" w:themeColor="text1"/>
                <w:sz w:val="20"/>
                <w:szCs w:val="20"/>
                <w:lang w:val="en-US" w:eastAsia="zh-CN"/>
              </w:rPr>
              <w:t>供方评审、</w:t>
            </w:r>
            <w:r>
              <w:rPr>
                <w:rFonts w:hint="eastAsia" w:ascii="宋体" w:hAnsi="宋体"/>
                <w:b/>
                <w:color w:val="000000" w:themeColor="text1"/>
                <w:sz w:val="20"/>
                <w:szCs w:val="20"/>
              </w:rPr>
              <w:t>合同评审、</w:t>
            </w:r>
            <w:r>
              <w:rPr>
                <w:rFonts w:hint="eastAsia" w:ascii="宋体" w:hAnsi="宋体"/>
                <w:b/>
                <w:color w:val="000000" w:themeColor="text1"/>
                <w:sz w:val="20"/>
                <w:szCs w:val="20"/>
                <w:lang w:val="en-US" w:eastAsia="zh-CN"/>
              </w:rPr>
              <w:t>劳务派遣过程、服务</w:t>
            </w:r>
            <w:r>
              <w:rPr>
                <w:rFonts w:hint="eastAsia" w:ascii="宋体" w:hAnsi="宋体"/>
                <w:b/>
                <w:color w:val="000000" w:themeColor="text1"/>
                <w:sz w:val="20"/>
                <w:szCs w:val="20"/>
              </w:rPr>
              <w:t>管理过程</w:t>
            </w:r>
            <w:r>
              <w:rPr>
                <w:rFonts w:hint="eastAsia" w:ascii="宋体" w:hAnsi="宋体"/>
                <w:b/>
                <w:color w:val="000000" w:themeColor="text1"/>
                <w:sz w:val="20"/>
                <w:szCs w:val="20"/>
                <w:lang w:val="en-US" w:eastAsia="zh-CN"/>
              </w:rPr>
              <w:t>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val="en-US" w:eastAsia="zh-CN"/>
              </w:rPr>
              <w:t>服务过程</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ascii="宋体" w:hAnsi="宋体"/>
                <w:b/>
                <w:color w:val="000000" w:themeColor="text1"/>
                <w:sz w:val="20"/>
                <w:szCs w:val="20"/>
                <w:u w:val="single"/>
              </w:rPr>
              <w:t>公司资质范围内</w:t>
            </w:r>
            <w:r>
              <w:rPr>
                <w:rFonts w:hint="eastAsia" w:ascii="宋体" w:hAnsi="宋体"/>
                <w:b/>
                <w:color w:val="000000" w:themeColor="text1"/>
                <w:sz w:val="20"/>
                <w:szCs w:val="20"/>
                <w:u w:val="single"/>
                <w:lang w:val="en-US" w:eastAsia="zh-CN"/>
              </w:rPr>
              <w:t>的劳务派遣</w:t>
            </w:r>
            <w:r>
              <w:rPr>
                <w:rFonts w:hint="eastAsia" w:ascii="宋体" w:hAnsi="宋体"/>
                <w:b/>
                <w:color w:val="000000" w:themeColor="text1"/>
                <w:sz w:val="20"/>
                <w:szCs w:val="20"/>
                <w:u w:val="single"/>
              </w:rPr>
              <w:t>不涉及设计和开发，因此ISO9001:2015标准条款8.3设计和开发条款不适用；删减8.3条款不影响公司提供满足顾客和适用法律法规要求的产品的能力和责任的要求。</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eastAsia="宋体" w:cs="Times New Roman"/>
                <w:b/>
                <w:color w:val="000000" w:themeColor="text1"/>
                <w:spacing w:val="-8"/>
                <w:kern w:val="2"/>
                <w:sz w:val="20"/>
                <w:szCs w:val="20"/>
                <w:lang w:val="en-US" w:eastAsia="zh-CN" w:bidi="ar-SA"/>
              </w:rPr>
            </w:pPr>
            <w:r>
              <w:rPr>
                <w:rFonts w:hint="eastAsia" w:ascii="宋体" w:hAnsi="宋体"/>
                <w:color w:val="000000" w:themeColor="text1"/>
              </w:rPr>
              <w:t>组织建立了危险源识别、评价控制程序，识别评价了危险源、风险相关的过程，评价出了重要危险源，与之相关的过程有销售，针对重要危险源制定了管理方案。控制措施实施有效。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1"/>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3"/>
              </w:numPr>
              <w:tabs>
                <w:tab w:val="left" w:pos="540"/>
              </w:tabs>
              <w:spacing w:line="300" w:lineRule="exact"/>
              <w:ind w:left="420" w:leftChars="0" w:hanging="420" w:firstLineChars="0"/>
              <w:rPr>
                <w:rFonts w:ascii="Times New Roman" w:hAnsi="Times New Roman" w:eastAsia="宋体" w:cs="Times New Roman"/>
                <w:b/>
                <w:color w:val="000000" w:themeColor="text1"/>
                <w:kern w:val="2"/>
                <w:sz w:val="14"/>
                <w:szCs w:val="14"/>
                <w:lang w:val="en-US" w:eastAsia="zh-CN" w:bidi="ar-SA"/>
              </w:rPr>
            </w:pPr>
            <w:r>
              <w:rPr>
                <w:rFonts w:hint="eastAsia" w:ascii="宋体" w:hAnsi="宋体"/>
                <w:b/>
                <w:color w:val="000000" w:themeColor="text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w:t>
            </w:r>
          </w:p>
          <w:p>
            <w:pPr>
              <w:tabs>
                <w:tab w:val="left" w:pos="3731"/>
              </w:tabs>
              <w:adjustRightInd w:val="0"/>
              <w:snapToGrid w:val="0"/>
              <w:spacing w:line="312" w:lineRule="auto"/>
              <w:rPr>
                <w:rFonts w:hint="eastAsia" w:asciiTheme="minorEastAsia" w:hAnsiTheme="minorEastAsia" w:eastAsiaTheme="minorEastAsia" w:cstheme="minorEastAsia"/>
                <w:szCs w:val="21"/>
              </w:rPr>
            </w:pPr>
            <w:r>
              <w:rPr>
                <w:rFonts w:hint="eastAsia" w:ascii="宋体" w:hAnsi="宋体"/>
                <w:color w:val="000000"/>
                <w:szCs w:val="21"/>
                <w:lang w:val="en-US" w:eastAsia="zh-CN"/>
              </w:rPr>
              <w:t>质量、</w:t>
            </w:r>
            <w:r>
              <w:rPr>
                <w:rFonts w:hint="eastAsia" w:ascii="宋体" w:hAnsi="宋体"/>
                <w:color w:val="000000"/>
                <w:szCs w:val="21"/>
              </w:rPr>
              <w:t>环境、职业健</w:t>
            </w:r>
            <w:r>
              <w:rPr>
                <w:rFonts w:hint="eastAsia" w:asciiTheme="minorEastAsia" w:hAnsiTheme="minorEastAsia" w:eastAsiaTheme="minorEastAsia" w:cstheme="minorEastAsia"/>
                <w:szCs w:val="21"/>
              </w:rPr>
              <w:t>康安全管理目标：</w:t>
            </w:r>
          </w:p>
          <w:p>
            <w:pPr>
              <w:numPr>
                <w:ilvl w:val="0"/>
                <w:numId w:val="0"/>
              </w:numPr>
              <w:tabs>
                <w:tab w:val="left" w:pos="900"/>
              </w:tabs>
              <w:spacing w:line="360" w:lineRule="auto"/>
              <w:ind w:left="0" w:leftChars="0" w:firstLine="0" w:firstLineChars="0"/>
              <w:rPr>
                <w:rFonts w:hint="eastAsia" w:ascii="宋体" w:hAnsi="宋体"/>
                <w:color w:val="000000"/>
                <w:sz w:val="21"/>
                <w:szCs w:val="18"/>
              </w:rPr>
            </w:pPr>
            <w:r>
              <w:rPr>
                <w:rFonts w:hint="eastAsia" w:ascii="宋体" w:hAnsi="宋体"/>
                <w:color w:val="000000"/>
                <w:sz w:val="21"/>
                <w:szCs w:val="18"/>
              </w:rPr>
              <w:t>质量目标：服务检查合格率≥90%；</w:t>
            </w:r>
          </w:p>
          <w:p>
            <w:pPr>
              <w:numPr>
                <w:ilvl w:val="0"/>
                <w:numId w:val="0"/>
              </w:numPr>
              <w:tabs>
                <w:tab w:val="left" w:pos="900"/>
              </w:tabs>
              <w:spacing w:line="360" w:lineRule="auto"/>
              <w:ind w:left="0" w:leftChars="0" w:firstLine="1050" w:firstLineChars="500"/>
              <w:rPr>
                <w:rFonts w:hint="eastAsia" w:ascii="宋体" w:hAnsi="宋体"/>
                <w:color w:val="000000"/>
                <w:sz w:val="21"/>
                <w:szCs w:val="18"/>
              </w:rPr>
            </w:pPr>
            <w:r>
              <w:rPr>
                <w:rFonts w:hint="eastAsia" w:ascii="宋体" w:hAnsi="宋体"/>
                <w:color w:val="000000"/>
                <w:sz w:val="21"/>
                <w:szCs w:val="18"/>
              </w:rPr>
              <w:t>顾客满意度≥90分</w:t>
            </w:r>
          </w:p>
          <w:p>
            <w:pPr>
              <w:numPr>
                <w:ilvl w:val="0"/>
                <w:numId w:val="0"/>
              </w:numPr>
              <w:tabs>
                <w:tab w:val="left" w:pos="900"/>
              </w:tabs>
              <w:spacing w:line="360" w:lineRule="auto"/>
              <w:ind w:left="0" w:leftChars="0" w:firstLine="0" w:firstLineChars="0"/>
              <w:rPr>
                <w:rFonts w:hint="eastAsia" w:ascii="宋体" w:hAnsi="宋体"/>
                <w:color w:val="000000"/>
                <w:sz w:val="21"/>
                <w:szCs w:val="18"/>
              </w:rPr>
            </w:pPr>
            <w:r>
              <w:rPr>
                <w:rFonts w:hint="eastAsia" w:ascii="宋体" w:hAnsi="宋体"/>
                <w:color w:val="000000"/>
                <w:sz w:val="21"/>
                <w:szCs w:val="18"/>
              </w:rPr>
              <w:t>环境目标：固体废弃物分类处置率100%；火灾发生次数为0</w:t>
            </w:r>
          </w:p>
          <w:p>
            <w:pPr>
              <w:numPr>
                <w:ilvl w:val="0"/>
                <w:numId w:val="0"/>
              </w:numPr>
              <w:tabs>
                <w:tab w:val="left" w:pos="900"/>
              </w:tabs>
              <w:spacing w:line="360" w:lineRule="auto"/>
              <w:ind w:left="0" w:leftChars="0" w:firstLine="0" w:firstLineChars="0"/>
              <w:rPr>
                <w:rFonts w:ascii="宋体" w:hAnsi="宋体" w:eastAsia="宋体" w:cs="Times New Roman"/>
                <w:b/>
                <w:color w:val="000000" w:themeColor="text1"/>
                <w:kern w:val="2"/>
                <w:sz w:val="21"/>
                <w:szCs w:val="24"/>
                <w:lang w:val="en-US" w:eastAsia="zh-CN" w:bidi="ar-SA"/>
              </w:rPr>
            </w:pPr>
            <w:r>
              <w:rPr>
                <w:rFonts w:hint="eastAsia" w:ascii="宋体" w:hAnsi="宋体"/>
                <w:color w:val="000000"/>
                <w:sz w:val="21"/>
                <w:szCs w:val="18"/>
              </w:rPr>
              <w:t>职业健康安全目标：火灾触电事故发生次数为0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val="en-US" w:eastAsia="zh-CN"/>
              </w:rPr>
              <w:t>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2020</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月1</w:t>
            </w:r>
            <w:r>
              <w:rPr>
                <w:rFonts w:hint="eastAsia" w:ascii="宋体" w:hAnsi="宋体" w:cs="宋体"/>
                <w:color w:val="000000" w:themeColor="text1"/>
                <w:lang w:val="en-US" w:eastAsia="zh-CN"/>
              </w:rPr>
              <w:t>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w:t>
            </w:r>
            <w:r>
              <w:rPr>
                <w:rFonts w:hint="eastAsia" w:ascii="宋体" w:hAnsi="宋体"/>
                <w:bCs/>
                <w:iCs/>
                <w:szCs w:val="22"/>
                <w:lang w:eastAsia="zh-CN"/>
              </w:rPr>
              <w:t>、</w:t>
            </w:r>
            <w:r>
              <w:rPr>
                <w:rFonts w:hint="eastAsia" w:ascii="宋体" w:hAnsi="宋体"/>
                <w:bCs/>
                <w:iCs/>
                <w:szCs w:val="22"/>
              </w:rPr>
              <w:t>设备等资源，并建立维持了</w:t>
            </w:r>
            <w:r>
              <w:rPr>
                <w:rFonts w:hint="eastAsia" w:ascii="宋体" w:hAnsi="宋体"/>
                <w:szCs w:val="21"/>
                <w:lang w:val="en-US" w:eastAsia="zh-CN"/>
              </w:rPr>
              <w:t>系统集成</w:t>
            </w:r>
            <w:r>
              <w:rPr>
                <w:rFonts w:hint="eastAsia" w:ascii="宋体" w:hAnsi="宋体"/>
                <w:bCs/>
                <w:iCs/>
                <w:szCs w:val="22"/>
              </w:rPr>
              <w:t>及相关服务运行环境，可以维持管理体系的正常运行。</w:t>
            </w:r>
          </w:p>
          <w:p>
            <w:pPr>
              <w:spacing w:line="300" w:lineRule="exact"/>
              <w:rPr>
                <w:rFonts w:ascii="宋体" w:hAnsi="宋体" w:eastAsia="宋体" w:cs="Times New Roman"/>
                <w:b/>
                <w:color w:val="000000" w:themeColor="text1"/>
                <w:kern w:val="2"/>
                <w:sz w:val="20"/>
                <w:szCs w:val="20"/>
                <w:lang w:val="en-US" w:eastAsia="zh-CN" w:bidi="ar-SA"/>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0" w:lineRule="atLeast"/>
              <w:jc w:val="left"/>
              <w:rPr>
                <w:rFonts w:ascii="宋体" w:hAnsi="宋体" w:eastAsia="宋体" w:cs="Times New Roman"/>
                <w:b/>
                <w:kern w:val="2"/>
                <w:sz w:val="20"/>
                <w:szCs w:val="20"/>
                <w:lang w:val="en-US" w:eastAsia="zh-CN" w:bidi="ar-SA"/>
              </w:rPr>
            </w:pPr>
            <w:r>
              <w:rPr>
                <w:rFonts w:hint="eastAsia" w:ascii="宋体" w:hAnsi="宋体"/>
                <w:b/>
                <w:color w:val="000000" w:themeColor="text1"/>
                <w:sz w:val="20"/>
                <w:szCs w:val="20"/>
              </w:rPr>
              <w:t>设备设施（包括信息系统）、</w:t>
            </w:r>
            <w:r>
              <w:rPr>
                <w:rFonts w:hint="eastAsia" w:ascii="宋体" w:hAnsi="宋体"/>
                <w:color w:val="auto"/>
                <w:szCs w:val="21"/>
                <w:highlight w:val="none"/>
              </w:rPr>
              <w:t>办公场所面积</w:t>
            </w:r>
            <w:r>
              <w:rPr>
                <w:rFonts w:hint="eastAsia" w:ascii="宋体" w:hAnsi="宋体"/>
                <w:color w:val="auto"/>
                <w:szCs w:val="21"/>
                <w:highlight w:val="none"/>
                <w:lang w:val="en-US" w:eastAsia="zh-CN"/>
              </w:rPr>
              <w:t>100</w:t>
            </w:r>
            <w:r>
              <w:rPr>
                <w:rFonts w:hint="eastAsia" w:ascii="宋体" w:hAnsi="宋体"/>
                <w:color w:val="auto"/>
                <w:szCs w:val="21"/>
                <w:highlight w:val="none"/>
              </w:rPr>
              <w:t>平方左右。</w:t>
            </w:r>
            <w:r>
              <w:rPr>
                <w:rFonts w:hint="eastAsia" w:ascii="宋体" w:hAnsi="宋体" w:cs="宋体"/>
                <w:color w:val="auto"/>
                <w:szCs w:val="21"/>
                <w:highlight w:val="none"/>
              </w:rPr>
              <w:t>主要设备包括</w:t>
            </w:r>
            <w:r>
              <w:rPr>
                <w:rFonts w:hint="eastAsia" w:ascii="宋体" w:hAnsi="宋体"/>
                <w:color w:val="auto"/>
                <w:szCs w:val="21"/>
                <w:highlight w:val="none"/>
              </w:rPr>
              <w:t>电脑、打印机</w:t>
            </w:r>
            <w:r>
              <w:rPr>
                <w:rFonts w:hint="eastAsia" w:ascii="宋体" w:hAnsi="宋体" w:cs="宋体"/>
                <w:color w:val="auto"/>
                <w:szCs w:val="21"/>
                <w:highlight w:val="none"/>
              </w:rPr>
              <w:t>等办公设备</w:t>
            </w:r>
            <w:r>
              <w:rPr>
                <w:rFonts w:hint="eastAsia" w:ascii="宋体" w:hAnsi="宋体"/>
                <w:szCs w:val="21"/>
              </w:rPr>
              <w:t>，可以满足</w:t>
            </w:r>
            <w:r>
              <w:rPr>
                <w:rFonts w:hint="eastAsia" w:ascii="宋体" w:hAnsi="宋体"/>
                <w:szCs w:val="21"/>
                <w:lang w:val="en-US" w:eastAsia="zh-CN"/>
              </w:rPr>
              <w:t>劳务派遣</w:t>
            </w:r>
            <w:r>
              <w:rPr>
                <w:rFonts w:hint="eastAsia" w:ascii="宋体" w:hAnsi="宋体"/>
                <w:szCs w:val="21"/>
              </w:rPr>
              <w:t>的需要</w:t>
            </w:r>
            <w:r>
              <w:rPr>
                <w:rFonts w:hint="eastAsia" w:ascii="宋体" w:hAnsi="宋体" w:cs="宋体"/>
                <w:szCs w:val="21"/>
              </w:rPr>
              <w:t>。对设备按月方式进行点检维护保养，并实施。特种设备：无。公司未建立信息管理系统用于生产和服务。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szCs w:val="21"/>
              </w:rPr>
              <w:t>办公、</w:t>
            </w:r>
            <w:r>
              <w:rPr>
                <w:rFonts w:hint="eastAsia" w:ascii="宋体" w:hAnsi="宋体" w:cs="宋体"/>
                <w:szCs w:val="21"/>
                <w:lang w:val="en-US" w:eastAsia="zh-CN"/>
              </w:rPr>
              <w:t>经营</w:t>
            </w:r>
            <w:r>
              <w:rPr>
                <w:rFonts w:hint="eastAsia" w:ascii="宋体" w:hAnsi="宋体" w:cs="宋体"/>
                <w:szCs w:val="21"/>
              </w:rPr>
              <w:t>场所和内设备布置合理，通道畅通，照明设施齐全，均配备了消防设施等设施。办公室明亮，培训场所光线较充足。每月由</w:t>
            </w:r>
            <w:r>
              <w:rPr>
                <w:rFonts w:hint="eastAsia" w:ascii="宋体" w:hAnsi="宋体" w:cs="宋体"/>
                <w:szCs w:val="21"/>
                <w:lang w:eastAsia="zh-CN"/>
              </w:rPr>
              <w:t>行政人事部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pPr>
            <w:r>
              <w:rPr>
                <w:rFonts w:hint="eastAsia"/>
              </w:rPr>
              <w:t>监视和测量资源</w:t>
            </w:r>
          </w:p>
          <w:p>
            <w:pPr>
              <w:pStyle w:val="2"/>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eastAsia="宋体" w:cs="Times New Roman"/>
                <w:kern w:val="2"/>
                <w:sz w:val="20"/>
                <w:szCs w:val="20"/>
                <w:lang w:val="en-US" w:eastAsia="zh-CN" w:bidi="ar-SA"/>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eastAsia="宋体" w:cs="Times New Roman"/>
                <w:kern w:val="2"/>
                <w:sz w:val="20"/>
                <w:szCs w:val="20"/>
                <w:lang w:val="en-US" w:eastAsia="zh-CN" w:bidi="ar-SA"/>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20" w:firstLineChars="200"/>
              <w:rPr>
                <w:b/>
                <w:color w:val="000000" w:themeColor="text1"/>
                <w:sz w:val="20"/>
                <w:szCs w:val="20"/>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67" w:hanging="167"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b/>
                <w:color w:val="000000" w:themeColor="text1"/>
                <w:sz w:val="20"/>
                <w:szCs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hint="eastAsia"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pStyle w:val="2"/>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eastAsia="宋体" w:cs="Times New Roman"/>
                <w:b/>
                <w:kern w:val="2"/>
                <w:sz w:val="21"/>
                <w:szCs w:val="21"/>
                <w:lang w:val="en-US" w:eastAsia="zh-CN" w:bidi="ar-SA"/>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从审核过程看，公司的服务质量管理基本受控。QMS关键工序(过程)</w:t>
            </w:r>
            <w:r>
              <w:rPr>
                <w:rFonts w:hint="eastAsia" w:ascii="宋体" w:hAnsi="宋体" w:cs="宋体"/>
                <w:color w:val="000000"/>
                <w:szCs w:val="21"/>
                <w:lang w:eastAsia="zh-CN"/>
              </w:rPr>
              <w:t>为</w:t>
            </w:r>
            <w:r>
              <w:rPr>
                <w:rFonts w:hint="eastAsia" w:ascii="宋体" w:hAnsi="宋体" w:cs="宋体"/>
                <w:color w:val="000000"/>
                <w:szCs w:val="21"/>
                <w:lang w:val="en-US" w:eastAsia="zh-CN"/>
              </w:rPr>
              <w:t>服务</w:t>
            </w:r>
            <w:r>
              <w:rPr>
                <w:rFonts w:hint="eastAsia" w:ascii="宋体" w:hAnsi="宋体" w:cs="宋体"/>
                <w:color w:val="000000"/>
                <w:szCs w:val="21"/>
                <w:lang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制定并实施了服务质量评价规定，规定了公司各管理层次和品质管理部门在各阶段对服务质量实施检查与验收的管理要求。内容基本具备全面性、系统性及可操作性。质量检查与验收交付客户</w:t>
            </w:r>
            <w:r>
              <w:rPr>
                <w:rFonts w:hint="eastAsia" w:ascii="宋体" w:hAnsi="宋体" w:cs="宋体"/>
                <w:color w:val="000000"/>
                <w:szCs w:val="21"/>
                <w:lang w:eastAsia="zh-CN"/>
              </w:rPr>
              <w:t>时</w:t>
            </w:r>
            <w:r>
              <w:rPr>
                <w:rFonts w:hint="eastAsia" w:ascii="宋体" w:hAnsi="宋体" w:cs="宋体"/>
                <w:color w:val="000000"/>
                <w:szCs w:val="21"/>
              </w:rPr>
              <w:t>予以实现，范围包括：过程、最终产品。以此保证持续向顾客稳定提供稳定合格的服务。</w:t>
            </w:r>
          </w:p>
          <w:p>
            <w:pPr>
              <w:spacing w:line="240" w:lineRule="exact"/>
              <w:rPr>
                <w:rFonts w:ascii="宋体" w:hAnsi="宋体" w:eastAsia="宋体" w:cs="Times New Roman"/>
                <w:b/>
                <w:kern w:val="2"/>
                <w:sz w:val="21"/>
                <w:szCs w:val="21"/>
                <w:lang w:val="en-US" w:eastAsia="zh-CN" w:bidi="ar-SA"/>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jc w:val="left"/>
              <w:rPr>
                <w:rFonts w:ascii="宋体" w:hAnsi="宋体" w:eastAsia="宋体" w:cs="Times New Roman"/>
                <w:b/>
                <w:kern w:val="2"/>
                <w:sz w:val="21"/>
                <w:szCs w:val="21"/>
                <w:lang w:val="en-US" w:eastAsia="zh-CN" w:bidi="ar-SA"/>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numPr>
                <w:ilvl w:val="0"/>
                <w:numId w:val="4"/>
              </w:numPr>
              <w:spacing w:line="240" w:lineRule="exact"/>
              <w:rPr>
                <w:rFonts w:ascii="宋体" w:hAnsi="宋体"/>
                <w:b/>
                <w:szCs w:val="21"/>
              </w:rPr>
            </w:pPr>
            <w:r>
              <w:rPr>
                <w:rFonts w:ascii="宋体" w:hAnsi="宋体"/>
                <w:b/>
                <w:szCs w:val="21"/>
              </w:rPr>
              <w:t>OHSMS</w:t>
            </w:r>
            <w:r>
              <w:rPr>
                <w:rFonts w:hint="eastAsia" w:ascii="宋体" w:hAnsi="宋体"/>
                <w:b/>
                <w:szCs w:val="21"/>
              </w:rPr>
              <w:t>组织对不可接受风险实施控制的结果</w:t>
            </w:r>
          </w:p>
          <w:p>
            <w:pPr>
              <w:tabs>
                <w:tab w:val="left" w:pos="2552"/>
              </w:tabs>
              <w:spacing w:line="360" w:lineRule="exact"/>
              <w:ind w:firstLine="315" w:firstLineChars="150"/>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szCs w:val="21"/>
                <w:highlight w:val="none"/>
              </w:rPr>
              <w:t>组织建立了危险源识别、评价控制程序，识别评价了危险源、风险相关的过程，评价出了重要危险</w:t>
            </w:r>
            <w:r>
              <w:rPr>
                <w:rFonts w:hint="eastAsia" w:asciiTheme="minorEastAsia" w:hAnsiTheme="minorEastAsia" w:eastAsiaTheme="minorEastAsia"/>
                <w:bCs/>
                <w:iCs/>
                <w:color w:val="auto"/>
                <w:szCs w:val="21"/>
                <w:highlight w:val="none"/>
              </w:rPr>
              <w:t>源（</w:t>
            </w:r>
            <w:r>
              <w:rPr>
                <w:rFonts w:hint="eastAsia" w:asciiTheme="minorEastAsia" w:hAnsiTheme="minorEastAsia" w:eastAsiaTheme="minorEastAsia" w:cstheme="minorEastAsia"/>
                <w:b w:val="0"/>
                <w:bCs w:val="0"/>
                <w:sz w:val="21"/>
                <w:szCs w:val="21"/>
              </w:rPr>
              <w:t>触电</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潜在火灾</w:t>
            </w:r>
            <w:r>
              <w:rPr>
                <w:rFonts w:hint="eastAsia" w:asciiTheme="minorEastAsia" w:hAnsiTheme="minorEastAsia" w:eastAsiaTheme="minorEastAsia"/>
                <w:bCs/>
                <w:iCs/>
                <w:color w:val="auto"/>
                <w:szCs w:val="21"/>
                <w:highlight w:val="none"/>
              </w:rPr>
              <w:t>），与之相关的过程有</w:t>
            </w:r>
            <w:r>
              <w:rPr>
                <w:rFonts w:hint="eastAsia" w:asciiTheme="minorEastAsia" w:hAnsiTheme="minorEastAsia" w:eastAsiaTheme="minorEastAsia"/>
                <w:bCs/>
                <w:iCs/>
                <w:color w:val="auto"/>
                <w:szCs w:val="21"/>
                <w:highlight w:val="none"/>
                <w:lang w:val="en-US" w:eastAsia="zh-CN"/>
              </w:rPr>
              <w:t>服务过程、办公</w:t>
            </w:r>
            <w:r>
              <w:rPr>
                <w:rFonts w:hint="eastAsia" w:asciiTheme="minorEastAsia" w:hAnsiTheme="minorEastAsia" w:eastAsiaTheme="minorEastAsia"/>
                <w:bCs/>
                <w:iCs/>
                <w:color w:val="auto"/>
                <w:szCs w:val="21"/>
                <w:highlight w:val="none"/>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11" w:hanging="21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color w:val="auto"/>
                <w:szCs w:val="21"/>
              </w:rPr>
            </w:pPr>
            <w:r>
              <w:rPr>
                <w:rFonts w:ascii="宋体" w:hAnsi="宋体"/>
                <w:b/>
                <w:color w:val="auto"/>
                <w:szCs w:val="21"/>
              </w:rPr>
              <w:t xml:space="preserve">10. </w:t>
            </w:r>
            <w:r>
              <w:rPr>
                <w:rFonts w:hint="eastAsia" w:ascii="宋体" w:hAnsi="宋体"/>
                <w:b/>
                <w:color w:val="auto"/>
                <w:szCs w:val="21"/>
              </w:rPr>
              <w:t>对特种设备的维护，检定</w:t>
            </w:r>
            <w:r>
              <w:rPr>
                <w:rFonts w:ascii="宋体" w:hAnsi="宋体"/>
                <w:b/>
                <w:color w:val="auto"/>
                <w:szCs w:val="21"/>
              </w:rPr>
              <w:t>;</w:t>
            </w:r>
            <w:r>
              <w:rPr>
                <w:rFonts w:hint="eastAsia" w:ascii="宋体" w:hAnsi="宋体"/>
                <w:b/>
                <w:color w:val="auto"/>
                <w:szCs w:val="21"/>
              </w:rPr>
              <w:t>（</w:t>
            </w:r>
            <w:r>
              <w:rPr>
                <w:rFonts w:ascii="宋体" w:hAnsi="宋体"/>
                <w:b/>
                <w:color w:val="auto"/>
                <w:szCs w:val="21"/>
              </w:rPr>
              <w:t>适用时</w:t>
            </w:r>
            <w:r>
              <w:rPr>
                <w:rFonts w:hint="eastAsia" w:ascii="宋体" w:hAnsi="宋体"/>
                <w:b/>
                <w:color w:val="auto"/>
                <w:szCs w:val="21"/>
              </w:rPr>
              <w:t>）</w:t>
            </w:r>
          </w:p>
          <w:p>
            <w:pPr>
              <w:ind w:left="210" w:leftChars="100" w:firstLine="105" w:firstLineChars="50"/>
              <w:jc w:val="left"/>
              <w:rPr>
                <w:rFonts w:ascii="宋体" w:hAnsi="宋体" w:eastAsia="宋体" w:cs="Times New Roman"/>
                <w:b/>
                <w:color w:val="auto"/>
                <w:kern w:val="2"/>
                <w:sz w:val="21"/>
                <w:szCs w:val="21"/>
                <w:lang w:val="en-US" w:eastAsia="zh-CN" w:bidi="ar-SA"/>
              </w:rPr>
            </w:pPr>
            <w:r>
              <w:rPr>
                <w:rFonts w:hint="eastAsia" w:ascii="宋体" w:hAnsi="宋体"/>
                <w:b/>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color w:val="auto"/>
                <w:szCs w:val="21"/>
              </w:rPr>
            </w:pPr>
            <w:r>
              <w:rPr>
                <w:rFonts w:ascii="宋体" w:hAnsi="宋体"/>
                <w:b/>
                <w:color w:val="auto"/>
                <w:szCs w:val="21"/>
              </w:rPr>
              <w:t>11 .</w:t>
            </w:r>
            <w:r>
              <w:rPr>
                <w:rFonts w:hint="eastAsia" w:ascii="宋体" w:hAnsi="宋体"/>
                <w:b/>
                <w:color w:val="auto"/>
                <w:szCs w:val="21"/>
              </w:rPr>
              <w:t>对危险化学品销售、使用、储存、运输处置，规定的执行力度</w:t>
            </w:r>
            <w:r>
              <w:rPr>
                <w:rFonts w:ascii="宋体" w:hAnsi="宋体"/>
                <w:b/>
                <w:color w:val="auto"/>
                <w:szCs w:val="21"/>
              </w:rPr>
              <w:t>(</w:t>
            </w:r>
            <w:r>
              <w:rPr>
                <w:rFonts w:hint="eastAsia" w:ascii="宋体" w:hAnsi="宋体"/>
                <w:b/>
                <w:color w:val="auto"/>
                <w:szCs w:val="21"/>
              </w:rPr>
              <w:t>必要时</w:t>
            </w:r>
            <w:r>
              <w:rPr>
                <w:rFonts w:ascii="宋体" w:hAnsi="宋体"/>
                <w:b/>
                <w:color w:val="auto"/>
                <w:szCs w:val="21"/>
              </w:rPr>
              <w:t>);</w:t>
            </w:r>
          </w:p>
          <w:p>
            <w:pPr>
              <w:spacing w:line="240" w:lineRule="exact"/>
              <w:rPr>
                <w:rFonts w:ascii="宋体" w:hAnsi="宋体" w:eastAsia="宋体" w:cs="Times New Roman"/>
                <w:b/>
                <w:color w:val="auto"/>
                <w:kern w:val="2"/>
                <w:sz w:val="21"/>
                <w:szCs w:val="21"/>
                <w:lang w:val="en-US" w:eastAsia="zh-CN" w:bidi="ar-SA"/>
              </w:rPr>
            </w:pPr>
            <w:r>
              <w:rPr>
                <w:rFonts w:hint="eastAsia" w:ascii="宋体" w:hAnsi="宋体"/>
                <w:b/>
                <w:color w:val="auto"/>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5" w:hanging="105" w:hangingChars="50"/>
              <w:rPr>
                <w:rFonts w:ascii="宋体" w:hAnsi="宋体"/>
                <w:b/>
                <w:szCs w:val="21"/>
              </w:rPr>
            </w:pPr>
            <w:r>
              <w:rPr>
                <w:rFonts w:ascii="宋体" w:hAnsi="宋体"/>
                <w:b/>
                <w:szCs w:val="21"/>
              </w:rPr>
              <w:t>1. .</w:t>
            </w:r>
            <w:r>
              <w:rPr>
                <w:rFonts w:hint="eastAsia" w:ascii="宋体" w:hAnsi="宋体"/>
                <w:b/>
                <w:szCs w:val="21"/>
              </w:rPr>
              <w:t>对质量</w:t>
            </w:r>
            <w:r>
              <w:rPr>
                <w:rFonts w:ascii="宋体" w:hAnsi="宋体"/>
                <w:b/>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职业健康安全目标指标进行定期监测</w:t>
            </w:r>
            <w:r>
              <w:rPr>
                <w:rFonts w:ascii="宋体" w:hAnsi="宋体"/>
                <w:b/>
                <w:szCs w:val="21"/>
              </w:rPr>
              <w:t>/</w:t>
            </w:r>
            <w:r>
              <w:rPr>
                <w:rFonts w:hint="eastAsia" w:ascii="宋体" w:hAnsi="宋体"/>
                <w:b/>
                <w:szCs w:val="21"/>
              </w:rPr>
              <w:t>检查情况</w:t>
            </w:r>
          </w:p>
          <w:p>
            <w:pPr>
              <w:spacing w:line="240" w:lineRule="exact"/>
              <w:ind w:firstLine="315" w:firstLineChars="150"/>
              <w:rPr>
                <w:rFonts w:ascii="宋体" w:hAnsi="宋体" w:eastAsia="宋体" w:cs="Times New Roman"/>
                <w:b/>
                <w:kern w:val="2"/>
                <w:sz w:val="21"/>
                <w:szCs w:val="21"/>
                <w:lang w:val="en-US" w:eastAsia="zh-CN" w:bidi="ar-SA"/>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auto"/>
                <w:szCs w:val="21"/>
              </w:rPr>
              <w:t>。同时，质量目标得到沟通和监视评价，通过数据的汇总统计、描述性统计等方法对目标进行了测量，总体已达到或超过了规定的目标值。通过</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5"/>
              </w:numPr>
              <w:spacing w:line="240" w:lineRule="exact"/>
              <w:ind w:left="105" w:hanging="105" w:hangingChars="50"/>
              <w:rPr>
                <w:rFonts w:ascii="宋体" w:hAnsi="宋体"/>
                <w:b/>
                <w:szCs w:val="21"/>
              </w:rPr>
            </w:pPr>
            <w:r>
              <w:rPr>
                <w:rFonts w:hint="eastAsia" w:ascii="宋体" w:hAnsi="宋体"/>
                <w:b/>
                <w:szCs w:val="21"/>
              </w:rPr>
              <w:t>顾客满意</w:t>
            </w:r>
          </w:p>
          <w:p>
            <w:pPr>
              <w:spacing w:line="240" w:lineRule="exact"/>
              <w:ind w:left="-105" w:leftChars="-50" w:firstLine="420" w:firstLineChars="200"/>
              <w:rPr>
                <w:rFonts w:ascii="宋体" w:hAnsi="宋体" w:eastAsia="宋体" w:cs="Times New Roman"/>
                <w:b/>
                <w:kern w:val="2"/>
                <w:sz w:val="21"/>
                <w:szCs w:val="21"/>
                <w:lang w:val="en-US" w:eastAsia="zh-CN" w:bidi="ar-SA"/>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hint="eastAsia" w:ascii="宋体" w:hAnsi="宋体" w:cs="宋体"/>
                <w:color w:val="auto"/>
                <w:szCs w:val="21"/>
              </w:rPr>
              <w:t>满意度调</w:t>
            </w:r>
            <w:r>
              <w:rPr>
                <w:rFonts w:hint="eastAsia" w:ascii="宋体" w:hAnsi="宋体" w:cs="宋体"/>
                <w:color w:val="auto"/>
                <w:szCs w:val="21"/>
                <w:highlight w:val="none"/>
              </w:rPr>
              <w:t>查按规定实施，2020年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月实施，满意度评价9</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 xml:space="preserve">3. </w:t>
            </w:r>
            <w:r>
              <w:rPr>
                <w:rFonts w:hint="eastAsia" w:ascii="宋体" w:hAnsi="宋体"/>
                <w:b/>
                <w:szCs w:val="21"/>
              </w:rPr>
              <w:t>内审（包括内审策划审核方案中考虑拟审核的过程和区域的状况和重要性）</w:t>
            </w:r>
          </w:p>
          <w:p>
            <w:pPr>
              <w:spacing w:line="400" w:lineRule="exact"/>
              <w:rPr>
                <w:rFonts w:ascii="宋体" w:hAnsi="宋体" w:eastAsia="宋体" w:cs="Times New Roman"/>
                <w:b/>
                <w:kern w:val="2"/>
                <w:sz w:val="21"/>
                <w:szCs w:val="21"/>
                <w:lang w:val="en-US" w:eastAsia="zh-CN" w:bidi="ar-SA"/>
              </w:rPr>
            </w:pPr>
            <w:r>
              <w:rPr>
                <w:rFonts w:hint="eastAsia" w:ascii="宋体" w:hAnsi="宋体" w:cs="宋体"/>
                <w:szCs w:val="21"/>
              </w:rPr>
              <w:t>建立有《内部审核控制程序》，规定了内审频次一年一次，内审时间：</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w:t>
            </w:r>
            <w:r>
              <w:rPr>
                <w:rFonts w:hint="eastAsia" w:ascii="宋体" w:hAnsi="宋体"/>
                <w:szCs w:val="21"/>
                <w:lang w:val="en-US" w:eastAsia="zh-CN"/>
              </w:rPr>
              <w:t>-3日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宋体" w:hAnsi="宋体"/>
                <w:szCs w:val="21"/>
              </w:rPr>
              <w:t>涉及</w:t>
            </w:r>
            <w:r>
              <w:rPr>
                <w:rFonts w:hint="eastAsia" w:ascii="宋体" w:hAnsi="宋体"/>
                <w:szCs w:val="21"/>
                <w:lang w:val="en-US" w:eastAsia="zh-CN"/>
              </w:rPr>
              <w:t>销售部ES8.1未查见对顾客相关方施加环境安全影响的证据</w:t>
            </w:r>
            <w:r>
              <w:rPr>
                <w:rFonts w:hint="eastAsia" w:ascii="宋体" w:hAnsi="宋体"/>
                <w:szCs w:val="21"/>
              </w:rPr>
              <w:t>，</w:t>
            </w:r>
            <w:r>
              <w:rPr>
                <w:rFonts w:hint="eastAsia" w:ascii="宋体" w:hAnsi="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szCs w:val="21"/>
              </w:rPr>
              <w:t>管理评审频次为一年一次、本次管理评审于202</w:t>
            </w:r>
            <w:r>
              <w:rPr>
                <w:rFonts w:hint="eastAsia" w:ascii="宋体" w:hAnsi="宋体" w:cs="宋体"/>
                <w:szCs w:val="21"/>
                <w:lang w:val="en-US" w:eastAsia="zh-CN"/>
              </w:rPr>
              <w:t>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ascii="Times New Roman" w:hAnsi="Times New Roman" w:eastAsia="宋体" w:cs="Times New Roman"/>
                <w:b/>
                <w:kern w:val="2"/>
                <w:sz w:val="20"/>
                <w:szCs w:val="20"/>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ascii="Times New Roman" w:hAnsi="Times New Roman" w:eastAsia="宋体" w:cs="Times New Roman"/>
                <w:b/>
                <w:kern w:val="2"/>
                <w:sz w:val="20"/>
                <w:szCs w:val="20"/>
                <w:lang w:val="en-US" w:eastAsia="zh-CN" w:bidi="ar-SA"/>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rFonts w:ascii="Times New Roman" w:hAnsi="Times New Roman" w:eastAsia="宋体" w:cs="Times New Roman"/>
                <w:b/>
                <w:color w:val="FF0000"/>
                <w:kern w:val="2"/>
                <w:sz w:val="20"/>
                <w:szCs w:val="20"/>
                <w:lang w:val="en-US" w:eastAsia="zh-CN" w:bidi="ar-SA"/>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ascii="Times New Roman" w:hAnsi="Times New Roman" w:eastAsia="宋体" w:cs="Times New Roman"/>
                <w:b/>
                <w:color w:val="000000" w:themeColor="text1"/>
                <w:spacing w:val="-20"/>
                <w:kern w:val="2"/>
                <w:sz w:val="20"/>
                <w:szCs w:val="20"/>
                <w:lang w:val="en-US" w:eastAsia="zh-CN" w:bidi="ar-SA"/>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 xml:space="preserve"> 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 xml:space="preserve"> 0 </w:t>
      </w:r>
      <w:r>
        <w:rPr>
          <w:rFonts w:hint="eastAsia"/>
          <w:b/>
          <w:color w:val="000000" w:themeColor="text1"/>
        </w:rPr>
        <w:t>项，一般不符合</w:t>
      </w:r>
      <w:r>
        <w:rPr>
          <w:rFonts w:hint="eastAsia"/>
          <w:b/>
          <w:color w:val="000000" w:themeColor="text1"/>
          <w:lang w:val="en-US" w:eastAsia="zh-CN"/>
        </w:rPr>
        <w:t xml:space="preserve"> 1 </w:t>
      </w:r>
      <w:r>
        <w:rPr>
          <w:rFonts w:hint="eastAsia"/>
          <w:b/>
          <w:color w:val="000000" w:themeColor="text1"/>
        </w:rPr>
        <w:t>项，观察项</w:t>
      </w:r>
      <w:r>
        <w:rPr>
          <w:rFonts w:hint="eastAsia"/>
          <w:b/>
          <w:color w:val="000000" w:themeColor="text1"/>
          <w:lang w:val="en-US" w:eastAsia="zh-CN"/>
        </w:rPr>
        <w:t xml:space="preserve"> 0 </w:t>
      </w:r>
      <w:r>
        <w:rPr>
          <w:rFonts w:hint="eastAsia"/>
          <w:b/>
          <w:color w:val="000000" w:themeColor="text1"/>
        </w:rPr>
        <w:t>项分布在</w:t>
      </w:r>
      <w:r>
        <w:rPr>
          <w:rFonts w:hint="eastAsia"/>
          <w:b/>
          <w:color w:val="000000" w:themeColor="text1"/>
          <w:lang w:val="en-US" w:eastAsia="zh-CN"/>
        </w:rPr>
        <w:t xml:space="preserve"> 项目</w:t>
      </w:r>
      <w:r>
        <w:rPr>
          <w:rFonts w:hint="eastAsia"/>
          <w:b/>
          <w:color w:val="000000" w:themeColor="text1"/>
        </w:rPr>
        <w:t>部门</w:t>
      </w:r>
      <w:r>
        <w:rPr>
          <w:rFonts w:hint="eastAsia"/>
          <w:b/>
          <w:color w:val="000000" w:themeColor="text1"/>
          <w:lang w:val="en-US" w:eastAsia="zh-CN"/>
        </w:rPr>
        <w:t xml:space="preserve"> Q8.5.1</w:t>
      </w:r>
      <w:bookmarkStart w:id="22" w:name="_GoBack"/>
      <w:bookmarkEnd w:id="22"/>
      <w:r>
        <w:rPr>
          <w:rFonts w:hint="eastAsia"/>
          <w:b/>
          <w:color w:val="000000" w:themeColor="text1"/>
          <w:lang w:val="en-US" w:eastAsia="zh-CN"/>
        </w:rPr>
        <w:t xml:space="preserve">  </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许可范围内的劳务派遣</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szCs w:val="21"/>
              </w:rPr>
              <w:t xml:space="preserve">许可范围内的劳务派遣所涉及场所的相关职业健康安全管理活动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3360" behindDoc="0" locked="0" layoutInCell="1" allowOverlap="1">
            <wp:simplePos x="0" y="0"/>
            <wp:positionH relativeFrom="column">
              <wp:posOffset>1572260</wp:posOffset>
            </wp:positionH>
            <wp:positionV relativeFrom="paragraph">
              <wp:posOffset>381000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2333625</wp:posOffset>
            </wp:positionH>
            <wp:positionV relativeFrom="paragraph">
              <wp:posOffset>154940</wp:posOffset>
            </wp:positionV>
            <wp:extent cx="632460" cy="313055"/>
            <wp:effectExtent l="0" t="0" r="7620" b="698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7"/>
                    <a:srcRect l="19829" t="27682" r="28673" b="20988"/>
                    <a:stretch>
                      <a:fillRect/>
                    </a:stretch>
                  </pic:blipFill>
                  <pic:spPr>
                    <a:xfrm>
                      <a:off x="0" y="0"/>
                      <a:ext cx="632460" cy="313055"/>
                    </a:xfrm>
                    <a:prstGeom prst="rect">
                      <a:avLst/>
                    </a:prstGeom>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1656080</wp:posOffset>
            </wp:positionH>
            <wp:positionV relativeFrom="paragraph">
              <wp:posOffset>203835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8"/>
                    <a:stretch>
                      <a:fillRect/>
                    </a:stretch>
                  </pic:blipFill>
                  <pic:spPr>
                    <a:xfrm>
                      <a:off x="0" y="0"/>
                      <a:ext cx="544830" cy="24892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25</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年月日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D2F20"/>
    <w:multiLevelType w:val="singleLevel"/>
    <w:tmpl w:val="E89D2F20"/>
    <w:lvl w:ilvl="0" w:tentative="0">
      <w:start w:val="2"/>
      <w:numFmt w:val="decimal"/>
      <w:lvlText w:val="%1."/>
      <w:lvlJc w:val="left"/>
      <w:pPr>
        <w:tabs>
          <w:tab w:val="left" w:pos="312"/>
        </w:tabs>
      </w:pPr>
    </w:lvl>
  </w:abstractNum>
  <w:abstractNum w:abstractNumId="1">
    <w:nsid w:val="2680083D"/>
    <w:multiLevelType w:val="singleLevel"/>
    <w:tmpl w:val="2680083D"/>
    <w:lvl w:ilvl="0" w:tentative="0">
      <w:start w:val="8"/>
      <w:numFmt w:val="decimal"/>
      <w:suff w:val="space"/>
      <w:lvlText w:val="%1."/>
      <w:lvlJc w:val="left"/>
    </w:lvl>
  </w:abstractNum>
  <w:abstractNum w:abstractNumId="2">
    <w:nsid w:val="2CC97A77"/>
    <w:multiLevelType w:val="singleLevel"/>
    <w:tmpl w:val="2CC97A77"/>
    <w:lvl w:ilvl="0" w:tentative="0">
      <w:start w:val="4"/>
      <w:numFmt w:val="decimal"/>
      <w:suff w:val="nothing"/>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422E79"/>
    <w:rsid w:val="24511E60"/>
    <w:rsid w:val="32CB2CCE"/>
    <w:rsid w:val="6D935D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2021-03-25T06:53:26Z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CF007DF75C404958AC369D0EE986BAFD</vt:lpwstr>
  </property>
</Properties>
</file>