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82"/>
        <w:gridCol w:w="11"/>
        <w:gridCol w:w="1553"/>
        <w:gridCol w:w="6"/>
        <w:gridCol w:w="567"/>
        <w:gridCol w:w="726"/>
        <w:gridCol w:w="516"/>
        <w:gridCol w:w="75"/>
        <w:gridCol w:w="101"/>
        <w:gridCol w:w="589"/>
        <w:gridCol w:w="261"/>
        <w:gridCol w:w="31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四川陆路通劳务有限公司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成都市双流区西航港街道成白路社区9号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吴坤国</w:t>
            </w:r>
            <w:bookmarkEnd w:id="2"/>
          </w:p>
        </w:tc>
        <w:tc>
          <w:tcPr>
            <w:tcW w:w="15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13550089109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82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冯展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0220-2021-QO</w:t>
            </w:r>
            <w:bookmarkEnd w:id="8"/>
          </w:p>
        </w:tc>
        <w:tc>
          <w:tcPr>
            <w:tcW w:w="157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Q：许可范围内的劳务派遣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O：许可范围内的劳务派遣所涉及场所的相关职业健康安全管理活动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Q：35.10.00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O：35.10.00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2021年03月25日 上午至2021年03月25日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■普通话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Q:35.10.00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O:35.10.00</w:t>
            </w:r>
          </w:p>
        </w:tc>
        <w:tc>
          <w:tcPr>
            <w:tcW w:w="18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2021.3.24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文平、余家龙、冉景洲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8:30-16:00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管理层（含管代和员工代表）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范围的确认，资质的确认，法律法规执行情况，投诉或事故/政府主管部门监督抽查情况，一阶段不符合的验证。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/权限；6.2目标及其实现的策划；8.2产品和服务的要求；8.4外部提供供方的控制；9.1.2顾客满意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项目部（含临时场所））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QMS-2015：余家龙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/权限；6.2目标及其实现的策划；7.1.3基础设施； 7.1.4过程运行环境； 7.1.5监视和测量设备；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5.3组织的角色、职责和权限；6.2目标及其实现的策划；6.1.2危险源辨识和职业安全风险评价；8.1运行策划和控制；8.2应急准备和响应；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行政人事部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/权限；6.2目标及其实现的策划；7.1.2人员;7.2能力；7.3意识；7.5文件化信息；9.1.3分析和评价；10.2不合格和纠正措施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bookmarkStart w:id="17" w:name="_GoBack"/>
            <w:bookmarkEnd w:id="17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文平、余家龙、冉景洲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文平、余家龙、冉景洲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D4D"/>
    <w:rsid w:val="00121A44"/>
    <w:rsid w:val="005A7D4D"/>
    <w:rsid w:val="00682CED"/>
    <w:rsid w:val="0C45284A"/>
    <w:rsid w:val="2C78011B"/>
    <w:rsid w:val="5B8468B8"/>
    <w:rsid w:val="7F547B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515</Words>
  <Characters>2937</Characters>
  <Lines>24</Lines>
  <Paragraphs>6</Paragraphs>
  <TotalTime>5</TotalTime>
  <ScaleCrop>false</ScaleCrop>
  <LinksUpToDate>false</LinksUpToDate>
  <CharactersWithSpaces>3446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2021-03-25T01:50:10Z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9DCB2E6AEAE74848A5ADBA20B323F6A6</vt:lpwstr>
  </property>
</Properties>
</file>