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0220-2021-QO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四川陆路通劳务有限公司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Q:35.10.00</w:t>
            </w:r>
          </w:p>
          <w:p>
            <w:pPr>
              <w:spacing w:line="240" w:lineRule="exact"/>
              <w:jc w:val="center"/>
              <w:rPr>
                <w:b/>
                <w:color w:val="000000"/>
                <w:sz w:val="20"/>
                <w:szCs w:val="20"/>
              </w:rPr>
            </w:pPr>
            <w:r>
              <w:rPr>
                <w:b/>
                <w:color w:val="000000"/>
                <w:sz w:val="20"/>
                <w:szCs w:val="20"/>
              </w:rPr>
              <w:t>O:35.10.00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eastAsia="宋体" w:cs="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四川陆路通劳务有限公司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成都市青羊区贝森北路5号1栋11层1103号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610031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成都市双流区西航港街道成白路社区9号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吴坤国</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13550089109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冯展</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姚金莲</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Q：许可范围内的劳务派遣</w:t>
            </w:r>
          </w:p>
          <w:p>
            <w:pPr>
              <w:spacing w:line="400" w:lineRule="exact"/>
              <w:rPr>
                <w:rFonts w:ascii="宋体" w:hAnsi="宋体"/>
                <w:b/>
                <w:color w:val="000000"/>
                <w:sz w:val="20"/>
                <w:szCs w:val="20"/>
              </w:rPr>
            </w:pPr>
            <w:r>
              <w:rPr>
                <w:rFonts w:ascii="宋体" w:hAnsi="宋体"/>
                <w:b/>
                <w:color w:val="000000"/>
                <w:sz w:val="20"/>
                <w:szCs w:val="20"/>
              </w:rPr>
              <w:t>O：许可范围内的劳务派遣所涉及场所的相关职业健康安全管理活动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Q：35.10.00</w:t>
            </w:r>
          </w:p>
          <w:p>
            <w:pPr>
              <w:spacing w:line="280" w:lineRule="exact"/>
              <w:rPr>
                <w:rFonts w:ascii="宋体"/>
                <w:b/>
                <w:color w:val="000000"/>
                <w:sz w:val="20"/>
                <w:szCs w:val="20"/>
              </w:rPr>
            </w:pPr>
            <w:r>
              <w:rPr>
                <w:rFonts w:ascii="宋体"/>
                <w:b/>
                <w:color w:val="000000"/>
                <w:sz w:val="20"/>
                <w:szCs w:val="20"/>
              </w:rPr>
              <w:t>O：35.10.00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程序文件、管理手册、内审、管理评审等。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lang w:val="en-US" w:eastAsia="zh-CN"/>
        </w:rPr>
        <w:t>管理层、行政人事部、项目部、销售部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p>
        </w:tc>
        <w:tc>
          <w:tcPr>
            <w:tcW w:w="1280"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p>
        </w:tc>
        <w:tc>
          <w:tcPr>
            <w:tcW w:w="1280"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劳务派遣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管理层、行政人事部、项目部、销售部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行政人事部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项目部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行政人事部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行政人事部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t>成都市双流区西航港街道成白路社区9号</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041"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营业执照是否有效：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产品技术标准号：人力资源服务规范 第8部分：培训服务、人力资源劳务派遣服务规范、人力资源服务规范 第12部分：劳务派遣、劳务派遣暂行规定、人力资源派遣服务规范</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hint="eastAsia" w:ascii="宋体" w:hAnsi="Times New Roman" w:eastAsia="宋体" w:cs="Times New Roman"/>
                <w:color w:val="000000"/>
                <w:kern w:val="2"/>
                <w:sz w:val="20"/>
                <w:szCs w:val="20"/>
                <w:lang w:val="en-US" w:eastAsia="zh-CN" w:bidi="ar-SA"/>
              </w:rPr>
            </w:pPr>
            <w:r>
              <w:rPr>
                <w:rFonts w:hint="eastAsia" w:ascii="宋体" w:hAnsi="Times New Roman" w:cs="Times New Roman"/>
                <w:color w:val="000000"/>
                <w:sz w:val="20"/>
                <w:szCs w:val="20"/>
              </w:rPr>
              <w:t>执行标准：中华人民共和国安全消防法、中华人民共和国劳动合同法、中华人民共和国安全生产法、火灾事故调查规定GA/T 1034-2012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前期商谈——签订合同——招聘、培训——客户确认——合格录用——跟踪服务</w:t>
            </w:r>
            <w:r>
              <w:rPr>
                <w:rFonts w:hint="eastAsia" w:ascii="宋体"/>
                <w:color w:val="000000"/>
                <w:sz w:val="20"/>
                <w:szCs w:val="20"/>
                <w:lang w:val="en-US" w:eastAsia="zh-CN"/>
              </w:rPr>
              <w:t xml:space="preserve">  需要确认过程：服务过程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color w:val="000000"/>
                <w:sz w:val="20"/>
                <w:szCs w:val="20"/>
                <w:lang w:val="en-US"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ascii="宋体"/>
                <w:color w:val="000000"/>
                <w:sz w:val="20"/>
                <w:szCs w:val="20"/>
                <w:lang w:val="en-US" w:eastAsia="zh-CN"/>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行政人事部、项目部、销售部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劳务派遣过程、服务过程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办公场所、项目场所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行政人事部、项目部</w:t>
            </w:r>
          </w:p>
          <w:p>
            <w:pPr>
              <w:spacing w:line="260" w:lineRule="exact"/>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办公场所、项目场所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hAnsi="宋体"/>
                <w:b/>
                <w:color w:val="000000" w:themeColor="text1"/>
                <w:sz w:val="21"/>
                <w:szCs w:val="21"/>
              </w:rPr>
            </w:pPr>
            <w:r>
              <w:rPr>
                <w:rFonts w:hint="eastAsia" w:ascii="宋体" w:hAnsi="宋体"/>
                <w:b/>
                <w:color w:val="000000" w:themeColor="text1"/>
                <w:sz w:val="21"/>
                <w:szCs w:val="21"/>
              </w:rPr>
              <w:t>了解内审的策划</w:t>
            </w:r>
            <w:r>
              <w:rPr>
                <w:rFonts w:ascii="宋体" w:hAnsi="宋体"/>
                <w:b/>
                <w:color w:val="000000" w:themeColor="text1"/>
                <w:sz w:val="21"/>
                <w:szCs w:val="21"/>
              </w:rPr>
              <w:t xml:space="preserve">; </w:t>
            </w:r>
          </w:p>
          <w:p>
            <w:pPr>
              <w:spacing w:line="260" w:lineRule="exact"/>
              <w:rPr>
                <w:rFonts w:ascii="宋体" w:hAnsi="Times New Roman" w:eastAsia="宋体" w:cs="Times New Roman"/>
                <w:b/>
                <w:color w:val="000000" w:themeColor="text1"/>
                <w:kern w:val="2"/>
                <w:sz w:val="21"/>
                <w:szCs w:val="21"/>
                <w:lang w:val="en-US" w:eastAsia="zh-CN" w:bidi="ar-SA"/>
              </w:rPr>
            </w:pPr>
            <w:r>
              <w:rPr>
                <w:rFonts w:hint="eastAsia" w:ascii="宋体" w:hAnsi="宋体"/>
                <w:color w:val="000000" w:themeColor="text1"/>
                <w:sz w:val="21"/>
                <w:szCs w:val="21"/>
              </w:rPr>
              <w:t>建立有《内部审核控制程</w:t>
            </w:r>
            <w:r>
              <w:rPr>
                <w:rFonts w:hint="eastAsia" w:ascii="宋体" w:hAnsi="宋体" w:cs="Times New Roman"/>
                <w:color w:val="000000" w:themeColor="text1"/>
                <w:sz w:val="21"/>
                <w:szCs w:val="21"/>
              </w:rPr>
              <w:t>序》，于202</w:t>
            </w:r>
            <w:r>
              <w:rPr>
                <w:rFonts w:hint="eastAsia" w:ascii="宋体" w:hAnsi="宋体" w:cs="Times New Roman"/>
                <w:color w:val="000000" w:themeColor="text1"/>
                <w:sz w:val="21"/>
                <w:szCs w:val="21"/>
                <w:lang w:val="en-US" w:eastAsia="zh-CN"/>
              </w:rPr>
              <w:t>0</w:t>
            </w:r>
            <w:r>
              <w:rPr>
                <w:rFonts w:hint="eastAsia" w:ascii="宋体" w:hAnsi="宋体" w:cs="Times New Roman"/>
                <w:color w:val="000000" w:themeColor="text1"/>
                <w:sz w:val="21"/>
                <w:szCs w:val="21"/>
              </w:rPr>
              <w:t>年</w:t>
            </w:r>
            <w:r>
              <w:rPr>
                <w:rFonts w:hint="eastAsia" w:ascii="宋体" w:hAnsi="宋体" w:cs="Times New Roman"/>
                <w:color w:val="000000" w:themeColor="text1"/>
                <w:sz w:val="21"/>
                <w:szCs w:val="21"/>
                <w:lang w:val="en-US" w:eastAsia="zh-CN"/>
              </w:rPr>
              <w:t>12</w:t>
            </w:r>
            <w:r>
              <w:rPr>
                <w:rFonts w:hint="eastAsia" w:ascii="宋体" w:hAnsi="宋体" w:cs="Times New Roman"/>
                <w:color w:val="000000" w:themeColor="text1"/>
                <w:sz w:val="21"/>
                <w:szCs w:val="21"/>
              </w:rPr>
              <w:t>月</w:t>
            </w:r>
            <w:r>
              <w:rPr>
                <w:rFonts w:hint="eastAsia" w:ascii="宋体" w:hAnsi="宋体" w:cs="Times New Roman"/>
                <w:color w:val="000000" w:themeColor="text1"/>
                <w:sz w:val="21"/>
                <w:szCs w:val="21"/>
                <w:lang w:val="en-US" w:eastAsia="zh-CN"/>
              </w:rPr>
              <w:t>2</w:t>
            </w:r>
            <w:r>
              <w:rPr>
                <w:rFonts w:hint="eastAsia" w:ascii="宋体" w:hAnsi="宋体" w:cs="Times New Roman"/>
                <w:color w:val="000000" w:themeColor="text1"/>
                <w:sz w:val="21"/>
                <w:szCs w:val="21"/>
              </w:rPr>
              <w:t>日至</w:t>
            </w:r>
            <w:r>
              <w:rPr>
                <w:rFonts w:hint="eastAsia" w:ascii="宋体" w:hAnsi="宋体" w:cs="Times New Roman"/>
                <w:color w:val="000000" w:themeColor="text1"/>
                <w:sz w:val="21"/>
                <w:szCs w:val="21"/>
                <w:lang w:val="en-US" w:eastAsia="zh-CN"/>
              </w:rPr>
              <w:t>3</w:t>
            </w:r>
            <w:r>
              <w:rPr>
                <w:rFonts w:hint="eastAsia" w:ascii="宋体" w:hAnsi="宋体" w:cs="Times New Roman"/>
                <w:color w:val="000000" w:themeColor="text1"/>
                <w:sz w:val="21"/>
                <w:szCs w:val="21"/>
              </w:rPr>
              <w:t>日进行了内部审核。内部审核组组成：审核组长：</w:t>
            </w:r>
            <w:r>
              <w:rPr>
                <w:rFonts w:hint="eastAsia" w:ascii="宋体" w:hAnsi="宋体" w:cs="Times New Roman"/>
                <w:color w:val="000000" w:themeColor="text1"/>
                <w:sz w:val="21"/>
                <w:szCs w:val="21"/>
                <w:lang w:val="en-US" w:eastAsia="zh-CN"/>
              </w:rPr>
              <w:t>姚金莲</w:t>
            </w:r>
            <w:r>
              <w:rPr>
                <w:rFonts w:hint="eastAsia" w:ascii="宋体" w:hAnsi="宋体"/>
                <w:color w:val="000000" w:themeColor="text1"/>
                <w:szCs w:val="21"/>
              </w:rPr>
              <w:t xml:space="preserve">    组员：周正康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color w:val="000000" w:themeColor="text1"/>
                <w:sz w:val="21"/>
                <w:szCs w:val="21"/>
              </w:rPr>
            </w:pPr>
            <w:r>
              <w:rPr>
                <w:rFonts w:hint="eastAsia"/>
                <w:color w:val="000000" w:themeColor="text1"/>
                <w:sz w:val="21"/>
                <w:szCs w:val="21"/>
              </w:rPr>
              <w:t>了解内审是否覆盖了管理体系范围内的活动及标准的要求; （1）审核范围：与本公司</w:t>
            </w:r>
            <w:r>
              <w:rPr>
                <w:rFonts w:hint="eastAsia"/>
                <w:color w:val="000000" w:themeColor="text1"/>
                <w:sz w:val="21"/>
                <w:szCs w:val="21"/>
                <w:lang w:val="en-US" w:eastAsia="zh-CN"/>
              </w:rPr>
              <w:t>质量、环境、职业健康安全</w:t>
            </w:r>
            <w:r>
              <w:rPr>
                <w:rFonts w:hint="eastAsia"/>
                <w:color w:val="000000" w:themeColor="text1"/>
                <w:sz w:val="21"/>
                <w:szCs w:val="21"/>
              </w:rPr>
              <w:t>管理体系有关的所有部门、活动和人员</w:t>
            </w:r>
          </w:p>
          <w:p>
            <w:pPr>
              <w:spacing w:line="260" w:lineRule="exact"/>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（2）审核准则：GB/T19001-2016</w:t>
            </w:r>
            <w:r>
              <w:rPr>
                <w:rFonts w:hint="eastAsia"/>
                <w:color w:val="000000" w:themeColor="text1"/>
                <w:sz w:val="21"/>
                <w:szCs w:val="21"/>
                <w:lang w:eastAsia="zh-CN"/>
              </w:rPr>
              <w:t>、</w:t>
            </w:r>
            <w:r>
              <w:rPr>
                <w:rFonts w:hint="eastAsia"/>
                <w:color w:val="000000" w:themeColor="text1"/>
                <w:sz w:val="21"/>
                <w:szCs w:val="21"/>
              </w:rPr>
              <w:t>GB/T24001-2016、ISO45001-2018标准，整合型手册、程序文件、适用的法律法规、相关方要求等。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1"/>
                <w:szCs w:val="21"/>
              </w:rPr>
            </w:pPr>
            <w:r>
              <w:rPr>
                <w:rFonts w:hint="eastAsia" w:ascii="宋体" w:hAnsi="宋体"/>
                <w:b/>
                <w:color w:val="000000" w:themeColor="text1"/>
                <w:sz w:val="21"/>
                <w:szCs w:val="21"/>
              </w:rPr>
              <w:t>了解内审结论是什么？</w:t>
            </w:r>
          </w:p>
          <w:p>
            <w:pPr>
              <w:spacing w:line="260" w:lineRule="exact"/>
              <w:rPr>
                <w:rFonts w:ascii="宋体" w:hAnsi="宋体" w:eastAsia="宋体" w:cs="Times New Roman"/>
                <w:b/>
                <w:color w:val="000000" w:themeColor="text1"/>
                <w:kern w:val="2"/>
                <w:sz w:val="21"/>
                <w:szCs w:val="21"/>
                <w:lang w:val="en-US" w:eastAsia="zh-CN" w:bidi="ar-SA"/>
              </w:rPr>
            </w:pPr>
            <w:r>
              <w:rPr>
                <w:rFonts w:hint="eastAsia"/>
                <w:color w:val="000000" w:themeColor="text1"/>
                <w:sz w:val="21"/>
                <w:szCs w:val="21"/>
              </w:rPr>
              <w:t>公司管理体系符合标准和公司管理体系规定，得到了有效实施与保持的信息。 环境、职业健康安全体系的运行基本有效。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Times New Roman" w:eastAsia="宋体" w:cs="Times New Roman"/>
                <w:b/>
                <w:color w:val="000000" w:themeColor="text1"/>
                <w:kern w:val="2"/>
                <w:sz w:val="21"/>
                <w:szCs w:val="21"/>
                <w:lang w:val="en-US" w:eastAsia="zh-CN" w:bidi="ar-SA"/>
              </w:rPr>
            </w:pPr>
            <w:r>
              <w:rPr>
                <w:rFonts w:hint="eastAsia" w:ascii="宋体" w:hAnsi="宋体"/>
                <w:b/>
                <w:color w:val="000000" w:themeColor="text1"/>
                <w:sz w:val="21"/>
                <w:szCs w:val="21"/>
              </w:rPr>
              <w:t>了解管理评审的策划</w:t>
            </w:r>
            <w:r>
              <w:rPr>
                <w:rFonts w:ascii="宋体" w:hAnsi="宋体"/>
                <w:b/>
                <w:color w:val="000000" w:themeColor="text1"/>
                <w:sz w:val="21"/>
                <w:szCs w:val="21"/>
              </w:rPr>
              <w:t xml:space="preserve">; </w:t>
            </w:r>
            <w:r>
              <w:rPr>
                <w:rFonts w:hint="eastAsia"/>
                <w:color w:val="000000" w:themeColor="text1"/>
                <w:sz w:val="21"/>
                <w:szCs w:val="21"/>
              </w:rPr>
              <w:t>建立有《管理评审控制程序》，于</w:t>
            </w:r>
            <w:r>
              <w:rPr>
                <w:rFonts w:hint="eastAsia" w:ascii="Times New Roman" w:hAnsi="Times New Roman" w:cs="Times New Roman"/>
                <w:color w:val="000000" w:themeColor="text1"/>
                <w:sz w:val="21"/>
                <w:szCs w:val="21"/>
              </w:rPr>
              <w:t>202</w:t>
            </w:r>
            <w:r>
              <w:rPr>
                <w:rFonts w:hint="eastAsia" w:ascii="Times New Roman" w:hAnsi="Times New Roman" w:cs="Times New Roman"/>
                <w:color w:val="000000" w:themeColor="text1"/>
                <w:sz w:val="21"/>
                <w:szCs w:val="21"/>
                <w:lang w:val="en-US" w:eastAsia="zh-CN"/>
              </w:rPr>
              <w:t>0</w:t>
            </w:r>
            <w:r>
              <w:rPr>
                <w:rFonts w:hint="eastAsia" w:ascii="Times New Roman" w:hAnsi="Times New Roman" w:cs="Times New Roman"/>
                <w:color w:val="000000" w:themeColor="text1"/>
                <w:sz w:val="21"/>
                <w:szCs w:val="21"/>
              </w:rPr>
              <w:t>年1</w:t>
            </w:r>
            <w:r>
              <w:rPr>
                <w:rFonts w:hint="eastAsia" w:ascii="Times New Roman" w:hAnsi="Times New Roman" w:cs="Times New Roman"/>
                <w:color w:val="000000" w:themeColor="text1"/>
                <w:sz w:val="21"/>
                <w:szCs w:val="21"/>
                <w:lang w:val="en-US" w:eastAsia="zh-CN"/>
              </w:rPr>
              <w:t>2</w:t>
            </w:r>
            <w:r>
              <w:rPr>
                <w:rFonts w:hint="eastAsia" w:ascii="Times New Roman" w:hAnsi="Times New Roman" w:cs="Times New Roman"/>
                <w:color w:val="000000" w:themeColor="text1"/>
                <w:sz w:val="21"/>
                <w:szCs w:val="21"/>
              </w:rPr>
              <w:t>月</w:t>
            </w:r>
            <w:r>
              <w:rPr>
                <w:rFonts w:hint="eastAsia" w:ascii="Times New Roman" w:hAnsi="Times New Roman" w:cs="Times New Roman"/>
                <w:color w:val="000000" w:themeColor="text1"/>
                <w:sz w:val="21"/>
                <w:szCs w:val="21"/>
                <w:lang w:val="en-US" w:eastAsia="zh-CN"/>
              </w:rPr>
              <w:t>25</w:t>
            </w:r>
            <w:r>
              <w:rPr>
                <w:rFonts w:hint="eastAsia" w:ascii="Times New Roman" w:hAnsi="Times New Roman" w:cs="Times New Roman"/>
                <w:color w:val="000000" w:themeColor="text1"/>
                <w:sz w:val="21"/>
                <w:szCs w:val="21"/>
              </w:rPr>
              <w:t>日由总经理主持就管理方针和目标，评价和审定管理体系运行的适宜性、充分性和有效性进</w:t>
            </w:r>
            <w:r>
              <w:rPr>
                <w:rFonts w:hint="eastAsia"/>
                <w:color w:val="000000" w:themeColor="text1"/>
                <w:sz w:val="21"/>
                <w:szCs w:val="21"/>
              </w:rPr>
              <w:t>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themeColor="text1"/>
                <w:kern w:val="2"/>
                <w:sz w:val="21"/>
                <w:szCs w:val="21"/>
                <w:lang w:val="en-US" w:eastAsia="zh-CN" w:bidi="ar-SA"/>
              </w:rPr>
            </w:pPr>
            <w:r>
              <w:rPr>
                <w:rFonts w:hint="eastAsia" w:ascii="宋体" w:hAnsi="宋体"/>
                <w:b/>
                <w:color w:val="000000" w:themeColor="text1"/>
                <w:sz w:val="21"/>
                <w:szCs w:val="21"/>
              </w:rPr>
              <w:t>了解管理评审输入是否充分</w:t>
            </w:r>
            <w:r>
              <w:rPr>
                <w:rFonts w:ascii="宋体" w:hAnsi="宋体"/>
                <w:b/>
                <w:color w:val="000000" w:themeColor="text1"/>
                <w:sz w:val="21"/>
                <w:szCs w:val="21"/>
              </w:rPr>
              <w:t xml:space="preserve">; </w:t>
            </w:r>
            <w:r>
              <w:rPr>
                <w:rFonts w:hint="eastAsia" w:ascii="宋体" w:hAnsi="宋体"/>
                <w:color w:val="000000" w:themeColor="text1"/>
                <w:kern w:val="0"/>
                <w:sz w:val="21"/>
                <w:szCs w:val="21"/>
              </w:rPr>
              <w:t>提供主要输入材料有：各部门总结，</w:t>
            </w:r>
            <w:r>
              <w:rPr>
                <w:rFonts w:hint="eastAsia" w:ascii="宋体"/>
                <w:color w:val="000000" w:themeColor="text1"/>
                <w:kern w:val="0"/>
                <w:sz w:val="21"/>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hint="eastAsia" w:ascii="宋体" w:hAnsi="宋体"/>
                <w:b/>
                <w:color w:val="000000" w:themeColor="text1"/>
                <w:sz w:val="21"/>
                <w:szCs w:val="21"/>
              </w:rPr>
              <w:t>了解管理评审结论</w:t>
            </w:r>
            <w:r>
              <w:rPr>
                <w:rFonts w:ascii="宋体" w:hAnsi="宋体"/>
                <w:b/>
                <w:color w:val="000000" w:themeColor="text1"/>
                <w:sz w:val="21"/>
                <w:szCs w:val="21"/>
              </w:rPr>
              <w:t xml:space="preserve">; </w:t>
            </w:r>
            <w:r>
              <w:rPr>
                <w:rFonts w:hint="eastAsia"/>
                <w:color w:val="000000" w:themeColor="text1"/>
                <w:sz w:val="21"/>
                <w:szCs w:val="21"/>
              </w:rPr>
              <w:t>本公司的管理体系与标准的要求一致，体系策划是充分的，体系文件与公司目前的现状相一致，是适宜，体系经过现阶段的运行是有效的。</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eastAsia="宋体" w:cs="宋体"/>
                <w:color w:val="000000"/>
                <w:sz w:val="20"/>
                <w:szCs w:val="20"/>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lang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z w:val="20"/>
                <w:szCs w:val="20"/>
                <w:lang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59264" behindDoc="0" locked="0" layoutInCell="1" allowOverlap="1">
            <wp:simplePos x="0" y="0"/>
            <wp:positionH relativeFrom="column">
              <wp:posOffset>1870710</wp:posOffset>
            </wp:positionH>
            <wp:positionV relativeFrom="paragraph">
              <wp:posOffset>282575</wp:posOffset>
            </wp:positionV>
            <wp:extent cx="499110" cy="312420"/>
            <wp:effectExtent l="0" t="0" r="3810" b="7620"/>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499110" cy="31242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1778635</wp:posOffset>
            </wp:positionH>
            <wp:positionV relativeFrom="paragraph">
              <wp:posOffset>48895</wp:posOffset>
            </wp:positionV>
            <wp:extent cx="632460" cy="313055"/>
            <wp:effectExtent l="0" t="0" r="7620" b="698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7"/>
                    <a:srcRect l="19829" t="27682" r="28673" b="20988"/>
                    <a:stretch>
                      <a:fillRect/>
                    </a:stretch>
                  </pic:blipFill>
                  <pic:spPr>
                    <a:xfrm>
                      <a:off x="0" y="0"/>
                      <a:ext cx="632460" cy="313055"/>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2021年3月23日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r>
              <w:rPr>
                <w:rFonts w:hint="eastAsia"/>
                <w:b/>
                <w:sz w:val="22"/>
                <w:szCs w:val="22"/>
              </w:rPr>
              <w:drawing>
                <wp:anchor distT="0" distB="0" distL="114300" distR="114300" simplePos="0" relativeHeight="251662336" behindDoc="1" locked="0" layoutInCell="1" allowOverlap="1">
                  <wp:simplePos x="0" y="0"/>
                  <wp:positionH relativeFrom="column">
                    <wp:posOffset>499110</wp:posOffset>
                  </wp:positionH>
                  <wp:positionV relativeFrom="paragraph">
                    <wp:posOffset>-46990</wp:posOffset>
                  </wp:positionV>
                  <wp:extent cx="499110" cy="312420"/>
                  <wp:effectExtent l="0" t="0" r="3810" b="7620"/>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499110" cy="312420"/>
                          </a:xfrm>
                          <a:prstGeom prst="rect">
                            <a:avLst/>
                          </a:prstGeom>
                          <a:noFill/>
                          <a:ln w="9525">
                            <a:noFill/>
                            <a:miter lim="800000"/>
                            <a:headEnd/>
                            <a:tailEnd/>
                          </a:ln>
                        </pic:spPr>
                      </pic:pic>
                    </a:graphicData>
                  </a:graphic>
                </wp:anchor>
              </w:drawing>
            </w:r>
          </w:p>
          <w:p>
            <w:pPr>
              <w:spacing w:line="280" w:lineRule="exact"/>
              <w:rPr>
                <w:rFonts w:hint="default" w:eastAsia="宋体"/>
                <w:b/>
                <w:color w:val="000000"/>
                <w:sz w:val="22"/>
                <w:szCs w:val="22"/>
                <w:lang w:val="en-US" w:eastAsia="zh-CN"/>
              </w:rPr>
            </w:pPr>
            <w:r>
              <w:rPr>
                <w:rFonts w:hint="eastAsia"/>
                <w:b/>
                <w:color w:val="000000"/>
                <w:sz w:val="22"/>
                <w:szCs w:val="22"/>
              </w:rPr>
              <w:t xml:space="preserve">日期：  </w:t>
            </w:r>
            <w:r>
              <w:rPr>
                <w:rFonts w:hint="eastAsia"/>
                <w:b/>
                <w:color w:val="000000"/>
                <w:sz w:val="22"/>
                <w:szCs w:val="22"/>
                <w:lang w:val="en-US" w:eastAsia="zh-CN"/>
              </w:rPr>
              <w:t>2021年3月23日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2021年3月23日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63360" behindDoc="1" locked="0" layoutInCell="1" allowOverlap="1">
                  <wp:simplePos x="0" y="0"/>
                  <wp:positionH relativeFrom="column">
                    <wp:posOffset>520700</wp:posOffset>
                  </wp:positionH>
                  <wp:positionV relativeFrom="paragraph">
                    <wp:posOffset>176530</wp:posOffset>
                  </wp:positionV>
                  <wp:extent cx="499110" cy="312420"/>
                  <wp:effectExtent l="0" t="0" r="3810" b="7620"/>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a:stretch>
                            <a:fillRect/>
                          </a:stretch>
                        </pic:blipFill>
                        <pic:spPr>
                          <a:xfrm>
                            <a:off x="0" y="0"/>
                            <a:ext cx="499110" cy="312420"/>
                          </a:xfrm>
                          <a:prstGeom prst="rect">
                            <a:avLst/>
                          </a:prstGeom>
                          <a:noFill/>
                          <a:ln w="9525">
                            <a:noFill/>
                            <a:miter lim="800000"/>
                            <a:headEnd/>
                            <a:tailEnd/>
                          </a:ln>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bookmarkStart w:id="25" w:name="_GoBack"/>
            <w:bookmarkEnd w:id="25"/>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2021年3月23日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5813BA"/>
    <w:rsid w:val="35991CED"/>
    <w:rsid w:val="56EB68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2021-03-23T14:49:32Z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29CADC13443D4F94B8DC7C121477DFDE</vt:lpwstr>
  </property>
</Properties>
</file>