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hint="eastAsia" w:ascii="楷体" w:hAnsi="楷体" w:eastAsia="楷体"/>
          <w:b/>
          <w:bCs w:val="0"/>
          <w:color w:val="000000" w:themeColor="text1"/>
          <w:sz w:val="24"/>
          <w:szCs w:val="24"/>
          <w:u w:val="none"/>
          <w:lang w:val="en-US" w:eastAsia="zh-CN"/>
        </w:rPr>
      </w:pPr>
      <w:r>
        <w:rPr>
          <w:rFonts w:hint="eastAsia" w:ascii="楷体" w:hAnsi="楷体" w:eastAsia="楷体"/>
          <w:b/>
          <w:bCs w:val="0"/>
          <w:color w:val="000000" w:themeColor="text1"/>
          <w:sz w:val="24"/>
          <w:szCs w:val="24"/>
          <w:u w:val="none"/>
          <w:lang w:val="en-US" w:eastAsia="zh-CN"/>
        </w:rPr>
        <w:t>编号：</w:t>
      </w:r>
      <w:bookmarkStart w:id="0" w:name="合同编号"/>
      <w:r>
        <w:rPr>
          <w:b/>
          <w:bCs w:val="0"/>
          <w:sz w:val="24"/>
          <w:szCs w:val="24"/>
          <w:u w:val="none"/>
        </w:rPr>
        <w:t>0217-2021-QEO</w:t>
      </w:r>
      <w:bookmarkEnd w:id="0"/>
      <w:r>
        <w:rPr>
          <w:rFonts w:hint="eastAsia" w:ascii="宋体" w:hAnsi="宋体"/>
          <w:b/>
          <w:bCs w:val="0"/>
          <w:kern w:val="0"/>
          <w:sz w:val="24"/>
          <w:szCs w:val="24"/>
          <w:u w:val="none"/>
        </w:rPr>
        <w:t xml:space="preserve"> </w:t>
      </w: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成都楷玺物业服务有限公司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Q:35.15.00</w:t>
            </w:r>
          </w:p>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24001-2016/ISO14001:2015,O：GB/T45001-2020 / ISO45001：2018</w:t>
      </w:r>
      <w:bookmarkEnd w:id="5"/>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成都楷玺物业服务有限公司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val="en-US" w:eastAsia="zh-CN"/>
              </w:rPr>
            </w:pPr>
            <w:bookmarkStart w:id="7" w:name="企业人数"/>
            <w:r>
              <w:rPr>
                <w:rFonts w:ascii="宋体" w:hAnsi="宋体"/>
                <w:b/>
                <w:color w:val="000000" w:themeColor="text1"/>
                <w:sz w:val="20"/>
                <w:szCs w:val="20"/>
              </w:rPr>
              <w:t>25</w:t>
            </w:r>
            <w:bookmarkEnd w:id="7"/>
            <w:r>
              <w:rPr>
                <w:rFonts w:hint="eastAsia" w:ascii="宋体" w:hAnsi="宋体"/>
                <w:b/>
                <w:color w:val="000000" w:themeColor="text1"/>
                <w:sz w:val="20"/>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成都市郫都区郫筒镇西大街景德二巷80号附1、2、3号1栋1层</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611730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成都市双流区空港国际城一期一栋一单元618</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张文科</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18180808585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张文科</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张文科</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张文科</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Q：物业管理服务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Q：35.15.00</w:t>
            </w:r>
          </w:p>
          <w:p>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2020-09-01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项目部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客服部</w:t>
            </w:r>
          </w:p>
        </w:tc>
        <w:tc>
          <w:tcPr>
            <w:tcW w:w="6804" w:type="dxa"/>
          </w:tcPr>
          <w:p>
            <w:pPr>
              <w:jc w:val="left"/>
              <w:rPr>
                <w:rFonts w:ascii="宋体" w:hAnsi="宋体"/>
                <w:b/>
                <w:color w:val="000000" w:themeColor="text1"/>
                <w:sz w:val="20"/>
                <w:szCs w:val="20"/>
              </w:rPr>
            </w:pPr>
            <w:r>
              <w:rPr>
                <w:rFonts w:hint="eastAsia" w:ascii="宋体" w:hAnsi="宋体"/>
                <w:b/>
                <w:color w:val="000000" w:themeColor="text1"/>
                <w:sz w:val="20"/>
                <w:szCs w:val="20"/>
              </w:rPr>
              <w:t>策划管理；过程监控管理；产品验收管理；监视和测量设备管理；服务过程管理；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hint="default" w:ascii="宋体" w:hAnsi="宋体" w:eastAsia="宋体"/>
                <w:b/>
                <w:color w:val="auto"/>
                <w:sz w:val="20"/>
                <w:szCs w:val="20"/>
                <w:lang w:val="en-US" w:eastAsia="zh-CN"/>
              </w:rPr>
            </w:pPr>
            <w:r>
              <w:rPr>
                <w:rFonts w:hint="eastAsia"/>
                <w:color w:val="auto"/>
                <w:lang w:val="en-US" w:eastAsia="zh-CN"/>
              </w:rPr>
              <w:t>安世联合商务服务（北京）有限公司成都分公司</w:t>
            </w:r>
          </w:p>
        </w:tc>
        <w:tc>
          <w:tcPr>
            <w:tcW w:w="3249" w:type="dxa"/>
          </w:tcPr>
          <w:p>
            <w:pPr>
              <w:jc w:val="center"/>
              <w:rPr>
                <w:rFonts w:hint="default" w:ascii="宋体" w:hAnsi="宋体" w:eastAsia="宋体"/>
                <w:b/>
                <w:color w:val="auto"/>
                <w:spacing w:val="-20"/>
                <w:sz w:val="20"/>
                <w:szCs w:val="20"/>
                <w:u w:val="single"/>
                <w:lang w:val="en-US" w:eastAsia="zh-CN"/>
              </w:rPr>
            </w:pPr>
            <w:r>
              <w:rPr>
                <w:rFonts w:hint="eastAsia"/>
                <w:color w:val="auto"/>
                <w:lang w:val="en-US" w:eastAsia="zh-CN"/>
              </w:rPr>
              <w:t>设施管理、清洁、保安服务</w:t>
            </w:r>
          </w:p>
        </w:tc>
        <w:tc>
          <w:tcPr>
            <w:tcW w:w="3555" w:type="dxa"/>
          </w:tcPr>
          <w:p>
            <w:pPr>
              <w:jc w:val="left"/>
              <w:rPr>
                <w:rFonts w:hint="default" w:ascii="宋体" w:hAnsi="宋体" w:eastAsia="宋体"/>
                <w:b/>
                <w:color w:val="auto"/>
                <w:spacing w:val="-20"/>
                <w:sz w:val="20"/>
                <w:szCs w:val="20"/>
                <w:u w:val="single"/>
                <w:lang w:val="en-US" w:eastAsia="zh-CN"/>
              </w:rPr>
            </w:pPr>
            <w:r>
              <w:rPr>
                <w:rFonts w:hint="eastAsia"/>
                <w:color w:val="auto"/>
                <w:lang w:val="en-US" w:eastAsia="zh-CN"/>
              </w:rPr>
              <w:t>成都市高新区天府软件园E区2栋6楼租赁区及9楼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物业管理服务</w:t>
            </w:r>
          </w:p>
        </w:tc>
        <w:tc>
          <w:tcPr>
            <w:tcW w:w="2519" w:type="dxa"/>
          </w:tcPr>
          <w:p>
            <w:pPr>
              <w:rPr>
                <w:b/>
                <w:color w:val="000000" w:themeColor="text1"/>
                <w:sz w:val="20"/>
                <w:szCs w:val="20"/>
              </w:rPr>
            </w:pPr>
            <w:r>
              <w:rPr>
                <w:rFonts w:hint="eastAsia"/>
                <w:b/>
                <w:sz w:val="20"/>
                <w:szCs w:val="20"/>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eastAsia="宋体" w:cs="Times New Roman"/>
                <w:b w:val="0"/>
                <w:bCs w:val="0"/>
                <w:color w:val="auto"/>
                <w:kern w:val="2"/>
                <w:sz w:val="21"/>
                <w:szCs w:val="21"/>
                <w:lang w:val="en-US" w:eastAsia="zh-CN" w:bidi="ar-SA"/>
              </w:rPr>
              <w:t>《物业服务收费管理办法》、《商务楼宇物业管理服务规范》、</w:t>
            </w:r>
            <w:r>
              <w:rPr>
                <w:rFonts w:hint="eastAsia"/>
                <w:szCs w:val="21"/>
                <w:lang w:eastAsia="zh-CN"/>
              </w:rPr>
              <w:t>《</w:t>
            </w:r>
            <w:r>
              <w:rPr>
                <w:rFonts w:hint="eastAsia"/>
                <w:szCs w:val="21"/>
              </w:rPr>
              <w:t>大气污染物综合排放标准</w:t>
            </w:r>
            <w:r>
              <w:rPr>
                <w:rFonts w:hint="eastAsia"/>
                <w:szCs w:val="21"/>
                <w:lang w:eastAsia="zh-CN"/>
              </w:rPr>
              <w:t>》《</w:t>
            </w:r>
            <w:r>
              <w:rPr>
                <w:rFonts w:hint="eastAsia"/>
                <w:szCs w:val="21"/>
              </w:rPr>
              <w:t>大气污染物综合排放标准</w:t>
            </w:r>
            <w:r>
              <w:rPr>
                <w:rFonts w:hint="eastAsia"/>
                <w:szCs w:val="21"/>
                <w:lang w:eastAsia="zh-CN"/>
              </w:rPr>
              <w:t>》</w:t>
            </w:r>
            <w:r>
              <w:rPr>
                <w:rFonts w:hint="eastAsia"/>
                <w:szCs w:val="21"/>
              </w:rPr>
              <w:t>和合同协议等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1" w:name="OLE_LINK1"/>
      <w:r>
        <w:rPr>
          <w:rFonts w:hint="eastAsia"/>
          <w:b/>
          <w:color w:val="000000" w:themeColor="text1"/>
          <w:spacing w:val="-10"/>
          <w:szCs w:val="21"/>
        </w:rPr>
        <w:t>1日</w:t>
      </w:r>
      <w:bookmarkEnd w:id="21"/>
      <w:r>
        <w:rPr>
          <w:rFonts w:hint="eastAsia"/>
          <w:b/>
          <w:color w:val="000000" w:themeColor="text1"/>
          <w:spacing w:val="-10"/>
          <w:szCs w:val="21"/>
        </w:rPr>
        <w:t>至202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月2</w:t>
      </w:r>
      <w:r>
        <w:rPr>
          <w:rFonts w:hint="eastAsia"/>
          <w:b/>
          <w:color w:val="000000" w:themeColor="text1"/>
          <w:spacing w:val="-10"/>
          <w:szCs w:val="21"/>
          <w:lang w:val="en-US" w:eastAsia="zh-CN"/>
        </w:rPr>
        <w:t>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20" w:firstLineChars="200"/>
              <w:jc w:val="left"/>
              <w:rPr>
                <w:rFonts w:ascii="宋体" w:hAnsi="宋体"/>
                <w:b/>
                <w:szCs w:val="21"/>
              </w:rPr>
            </w:pPr>
            <w:r>
              <w:rPr>
                <w:rFonts w:hint="eastAsia"/>
                <w:szCs w:val="21"/>
                <w:lang w:eastAsia="zh-CN"/>
              </w:rPr>
              <w:t>成都楷玺物业服务有限公司</w:t>
            </w:r>
            <w:r>
              <w:rPr>
                <w:rFonts w:hint="eastAsia"/>
                <w:szCs w:val="21"/>
              </w:rPr>
              <w:t>是</w:t>
            </w:r>
            <w:r>
              <w:rPr>
                <w:rFonts w:hint="eastAsia" w:asciiTheme="minorEastAsia" w:hAnsiTheme="minorEastAsia" w:eastAsiaTheme="minorEastAsia" w:cstheme="minorEastAsia"/>
                <w:color w:val="000000"/>
                <w:szCs w:val="21"/>
              </w:rPr>
              <w:t>主要经营物业管理</w:t>
            </w:r>
            <w:r>
              <w:rPr>
                <w:rFonts w:hint="eastAsia" w:asciiTheme="minorEastAsia" w:hAnsiTheme="minorEastAsia" w:eastAsiaTheme="minorEastAsia" w:cstheme="minorEastAsia"/>
                <w:color w:val="000000"/>
                <w:szCs w:val="21"/>
                <w:lang w:eastAsia="zh-CN"/>
              </w:rPr>
              <w:t>，</w:t>
            </w:r>
            <w:r>
              <w:rPr>
                <w:rFonts w:hint="eastAsia"/>
                <w:color w:val="000000"/>
                <w:szCs w:val="21"/>
                <w:lang w:val="de-DE"/>
              </w:rPr>
              <w:t>生产经营地址：</w:t>
            </w:r>
            <w:r>
              <w:rPr>
                <w:rFonts w:hint="eastAsia" w:ascii="Times New Roman" w:hAnsi="Times New Roman" w:eastAsia="宋体" w:cs="Times New Roman"/>
                <w:szCs w:val="22"/>
                <w:lang w:eastAsia="zh-CN"/>
              </w:rPr>
              <w:t>成都市双流区空港国际城一期一栋一单元618</w:t>
            </w:r>
            <w:r>
              <w:rPr>
                <w:rFonts w:hint="eastAsia" w:asciiTheme="minorEastAsia" w:hAnsiTheme="minorEastAsia" w:eastAsiaTheme="minorEastAsia" w:cstheme="minorEastAsia"/>
                <w:color w:val="000000"/>
                <w:szCs w:val="21"/>
                <w:lang w:eastAsia="zh-CN"/>
              </w:rPr>
              <w:t>。</w:t>
            </w:r>
            <w:r>
              <w:rPr>
                <w:rFonts w:hint="eastAsia" w:ascii="宋体" w:hAnsi="宋体"/>
                <w:szCs w:val="21"/>
              </w:rPr>
              <w:t>现有员工25人，目前经营情况良好。组织对内外部因素、相关方需求和期望进行了充分的识别，策划和实施有效。确定了体系的边界，基本适用。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276" w:lineRule="auto"/>
              <w:ind w:firstLine="422" w:firstLineChars="200"/>
              <w:rPr>
                <w:rFonts w:hint="eastAsia" w:ascii="宋体" w:hAnsi="宋体" w:eastAsia="宋体"/>
                <w:b/>
                <w:szCs w:val="21"/>
                <w:lang w:eastAsia="zh-CN"/>
              </w:rPr>
            </w:pPr>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rPr>
              <w:t>优质服务　环境舒适  各方满意　持续发展</w:t>
            </w:r>
            <w:r>
              <w:rPr>
                <w:rFonts w:ascii="宋体" w:hAnsi="宋体"/>
                <w:b/>
                <w:bCs/>
                <w:szCs w:val="21"/>
              </w:rPr>
              <w:t xml:space="preserve"> </w:t>
            </w:r>
            <w:r>
              <w:rPr>
                <w:rFonts w:hint="eastAsia" w:ascii="宋体" w:hAnsi="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auto"/>
                <w:sz w:val="20"/>
                <w:szCs w:val="20"/>
                <w:u w:val="single"/>
              </w:rPr>
            </w:pPr>
            <w:r>
              <w:rPr>
                <w:rFonts w:hint="eastAsia" w:ascii="宋体" w:hAnsi="宋体"/>
                <w:b/>
                <w:szCs w:val="21"/>
              </w:rPr>
              <w:t>质量管理体系过程有：</w:t>
            </w:r>
            <w:r>
              <w:rPr>
                <w:rFonts w:hint="eastAsia" w:ascii="宋体" w:hAnsi="宋体"/>
                <w:color w:val="auto"/>
                <w:szCs w:val="21"/>
                <w:lang w:val="en-US" w:eastAsia="zh-CN"/>
              </w:rPr>
              <w:t>合同评审</w:t>
            </w:r>
            <w:r>
              <w:rPr>
                <w:rFonts w:hint="eastAsia" w:ascii="宋体" w:hAnsi="宋体"/>
                <w:color w:val="auto"/>
                <w:szCs w:val="21"/>
                <w:lang w:eastAsia="zh-CN"/>
              </w:rPr>
              <w:t>、</w:t>
            </w:r>
            <w:r>
              <w:rPr>
                <w:rFonts w:hint="eastAsia" w:ascii="宋体" w:hAnsi="宋体"/>
                <w:color w:val="auto"/>
                <w:szCs w:val="21"/>
                <w:lang w:val="en-US" w:eastAsia="zh-CN"/>
              </w:rPr>
              <w:t>服务提供</w:t>
            </w:r>
            <w:r>
              <w:rPr>
                <w:rFonts w:hint="eastAsia" w:ascii="宋体" w:hAnsi="宋体"/>
                <w:color w:val="auto"/>
                <w:szCs w:val="21"/>
                <w:lang w:eastAsia="zh-CN"/>
              </w:rPr>
              <w:t>、</w:t>
            </w:r>
            <w:r>
              <w:rPr>
                <w:rFonts w:hint="eastAsia" w:ascii="宋体" w:hAnsi="宋体"/>
                <w:color w:val="auto"/>
                <w:szCs w:val="21"/>
                <w:lang w:val="en-US" w:eastAsia="zh-CN"/>
              </w:rPr>
              <w:t>服务评价等</w:t>
            </w:r>
            <w:r>
              <w:rPr>
                <w:rFonts w:hint="eastAsia" w:ascii="宋体" w:hAnsi="宋体"/>
                <w:b/>
                <w:color w:val="auto"/>
                <w:sz w:val="20"/>
                <w:szCs w:val="20"/>
              </w:rPr>
              <w:t>。</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其中关键过程有：</w:t>
            </w:r>
            <w:r>
              <w:rPr>
                <w:rFonts w:hint="eastAsia" w:ascii="宋体" w:hAnsi="宋体" w:eastAsia="宋体" w:cs="Times New Roman"/>
                <w:color w:val="auto"/>
                <w:szCs w:val="21"/>
              </w:rPr>
              <w:t>服务过程</w:t>
            </w:r>
            <w:r>
              <w:rPr>
                <w:rFonts w:hint="eastAsia" w:ascii="宋体" w:hAnsi="宋体"/>
                <w:b/>
                <w:color w:val="auto"/>
                <w:sz w:val="20"/>
                <w:szCs w:val="20"/>
              </w:rPr>
              <w:t>。</w:t>
            </w:r>
          </w:p>
          <w:p>
            <w:pPr>
              <w:tabs>
                <w:tab w:val="left" w:pos="540"/>
              </w:tabs>
              <w:spacing w:line="300" w:lineRule="exact"/>
              <w:ind w:left="211" w:hanging="211" w:hangingChars="100"/>
              <w:rPr>
                <w:rFonts w:hint="eastAsia" w:ascii="宋体" w:hAnsi="宋体"/>
                <w:b/>
                <w:color w:val="auto"/>
                <w:sz w:val="20"/>
                <w:szCs w:val="20"/>
              </w:rPr>
            </w:pPr>
            <w:r>
              <w:rPr>
                <w:rFonts w:hint="eastAsia" w:ascii="宋体" w:hAnsi="宋体"/>
                <w:b/>
                <w:color w:val="auto"/>
                <w:szCs w:val="21"/>
              </w:rPr>
              <w:t>需要确认过程：</w:t>
            </w:r>
            <w:r>
              <w:rPr>
                <w:rFonts w:hint="eastAsia" w:ascii="宋体" w:hAnsi="宋体" w:eastAsia="宋体" w:cs="Times New Roman"/>
                <w:color w:val="auto"/>
                <w:szCs w:val="21"/>
              </w:rPr>
              <w:t>服务过程</w:t>
            </w:r>
            <w:r>
              <w:rPr>
                <w:rFonts w:hint="eastAsia" w:ascii="宋体" w:hAnsi="宋体"/>
                <w:b/>
                <w:color w:val="auto"/>
                <w:sz w:val="20"/>
                <w:szCs w:val="20"/>
              </w:rPr>
              <w:t>。</w:t>
            </w:r>
          </w:p>
          <w:p>
            <w:pPr>
              <w:tabs>
                <w:tab w:val="left" w:pos="540"/>
              </w:tabs>
              <w:spacing w:line="300" w:lineRule="exact"/>
              <w:ind w:left="211" w:hanging="211" w:hangingChars="100"/>
              <w:rPr>
                <w:rFonts w:hint="default" w:ascii="宋体" w:hAnsi="宋体" w:eastAsia="宋体"/>
                <w:b/>
                <w:szCs w:val="21"/>
                <w:lang w:val="en-US" w:eastAsia="zh-CN"/>
              </w:rPr>
            </w:pPr>
            <w:r>
              <w:rPr>
                <w:rFonts w:ascii="宋体" w:hAnsi="宋体"/>
                <w:b/>
                <w:szCs w:val="21"/>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宋体" w:hAnsi="宋体"/>
                <w:sz w:val="21"/>
                <w:szCs w:val="21"/>
                <w:u w:val="single"/>
              </w:rPr>
              <w:t>由于物业管理服务均按照客户的需求实施服务，模式基本固定，不涉及设计和开发，因此对标准8.3条款不适用，基本合理</w:t>
            </w:r>
            <w:r>
              <w:rPr>
                <w:rFonts w:hint="eastAsia" w:ascii="宋体" w:hAnsi="宋体"/>
                <w:b/>
                <w:szCs w:val="21"/>
                <w:u w:val="single"/>
                <w:lang w:val="en-US" w:eastAsia="zh-CN"/>
              </w:rPr>
              <w:t xml:space="preserve"> 。    </w:t>
            </w:r>
            <w:r>
              <w:rPr>
                <w:rFonts w:hint="eastAsia" w:ascii="宋体" w:hAnsi="宋体"/>
                <w:b/>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w:t>
            </w:r>
            <w:r>
              <w:rPr>
                <w:rFonts w:ascii="宋体" w:hAnsi="宋体"/>
                <w:b/>
                <w:szCs w:val="21"/>
              </w:rPr>
              <w:t>EMS</w:t>
            </w:r>
            <w:r>
              <w:rPr>
                <w:rFonts w:hint="eastAsia" w:ascii="宋体" w:hAnsi="宋体"/>
                <w:b/>
                <w:szCs w:val="21"/>
              </w:rPr>
              <w:t>环境因素</w:t>
            </w:r>
          </w:p>
          <w:p>
            <w:pPr>
              <w:spacing w:line="300" w:lineRule="exact"/>
              <w:rPr>
                <w:rFonts w:ascii="宋体" w:hAnsi="宋体"/>
                <w:b/>
                <w:szCs w:val="21"/>
              </w:rPr>
            </w:pPr>
            <w:r>
              <w:rPr>
                <w:rFonts w:hint="eastAsia" w:ascii="宋体" w:hAnsi="宋体"/>
                <w:b/>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szCs w:val="21"/>
              </w:rPr>
            </w:pPr>
            <w:r>
              <w:rPr>
                <w:rFonts w:hint="eastAsia" w:ascii="宋体" w:hAnsi="宋体" w:cs="宋体"/>
                <w:bCs/>
                <w:iCs/>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lang w:val="en-US" w:eastAsia="zh-CN"/>
              </w:rPr>
              <w:t>1）</w:t>
            </w:r>
            <w:r>
              <w:rPr>
                <w:rFonts w:hint="eastAsia" w:ascii="宋体" w:hAnsi="宋体" w:eastAsia="宋体" w:cs="Times New Roman"/>
                <w:szCs w:val="21"/>
              </w:rPr>
              <w:t>潜在火灾事故发生</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固体废弃物排放（包括废电池、墨盒、废弃消毒瓶等）</w:t>
            </w:r>
            <w:r>
              <w:rPr>
                <w:rFonts w:hint="eastAsia" w:ascii="宋体" w:hAnsi="宋体" w:cs="宋体"/>
                <w:bCs/>
                <w:iCs/>
                <w:szCs w:val="21"/>
              </w:rPr>
              <w:t>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 xml:space="preserve">7. </w:t>
            </w:r>
            <w:r>
              <w:rPr>
                <w:rFonts w:hint="eastAsia" w:ascii="宋体" w:hAnsi="宋体"/>
                <w:b/>
                <w:szCs w:val="21"/>
              </w:rPr>
              <w:t>■</w:t>
            </w:r>
            <w:r>
              <w:rPr>
                <w:rFonts w:ascii="宋体" w:hAnsi="宋体"/>
                <w:b/>
                <w:szCs w:val="21"/>
              </w:rPr>
              <w:t>OHSMS</w:t>
            </w:r>
            <w:r>
              <w:rPr>
                <w:rFonts w:hint="eastAsia" w:ascii="宋体" w:hAnsi="宋体"/>
                <w:b/>
                <w:szCs w:val="21"/>
              </w:rPr>
              <w:t>职业健康安全危险源</w:t>
            </w:r>
          </w:p>
          <w:p>
            <w:pPr>
              <w:spacing w:line="240" w:lineRule="exact"/>
              <w:rPr>
                <w:rFonts w:ascii="宋体" w:hAnsi="宋体"/>
                <w:b/>
                <w:szCs w:val="21"/>
              </w:rPr>
            </w:pPr>
            <w:r>
              <w:rPr>
                <w:rFonts w:hint="eastAsia" w:ascii="宋体" w:hAnsi="宋体"/>
                <w:b/>
                <w:szCs w:val="21"/>
              </w:rPr>
              <w:t>（职业健康安全危险源辨识是否充分、风险评价合理性，以及风险评价动态变更的及时性等）</w:t>
            </w:r>
          </w:p>
          <w:p>
            <w:pPr>
              <w:spacing w:line="240" w:lineRule="exact"/>
              <w:ind w:firstLine="210" w:firstLineChars="100"/>
              <w:rPr>
                <w:rFonts w:ascii="宋体" w:hAnsi="宋体"/>
                <w:b/>
                <w:szCs w:val="21"/>
              </w:rPr>
            </w:pPr>
            <w:r>
              <w:rPr>
                <w:rFonts w:hint="eastAsia" w:ascii="宋体" w:hAnsi="宋体" w:cs="宋体"/>
                <w:color w:val="000000" w:themeColor="text1"/>
                <w:szCs w:val="21"/>
              </w:rPr>
              <w:t>组织建立了危险源识别、评价控制程序，识别评价了危险源、风险相关的过程，评价出了重要危险源，与之相关的过程有客服、工程维修、保安等，针对重要危险源制定了管理方案。控制措施实施有效。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0"/>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0"/>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ind w:firstLine="420" w:firstLineChars="20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 xml:space="preserve">质量、环境、职业健康安全目标 </w:t>
            </w:r>
            <w:r>
              <w:rPr>
                <w:rFonts w:hint="eastAsia" w:asciiTheme="minorEastAsia" w:hAnsiTheme="minorEastAsia" w:eastAsiaTheme="minorEastAsia" w:cstheme="minorEastAsia"/>
                <w:szCs w:val="21"/>
                <w:lang w:eastAsia="zh-CN"/>
              </w:rPr>
              <w:t>：</w:t>
            </w:r>
          </w:p>
          <w:p>
            <w:pPr>
              <w:spacing w:line="360" w:lineRule="auto"/>
              <w:rPr>
                <w:szCs w:val="24"/>
              </w:rPr>
            </w:pPr>
            <w:r>
              <w:rPr>
                <w:rFonts w:hint="eastAsia"/>
                <w:szCs w:val="24"/>
              </w:rPr>
              <w:t>质量分目标</w:t>
            </w:r>
          </w:p>
          <w:p>
            <w:pPr>
              <w:spacing w:line="360" w:lineRule="auto"/>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lang w:eastAsia="zh-CN"/>
              </w:rPr>
              <w:t>顾客</w:t>
            </w:r>
            <w:r>
              <w:rPr>
                <w:rFonts w:hint="eastAsia" w:ascii="Times New Roman" w:hAnsi="Times New Roman" w:eastAsia="宋体" w:cs="Times New Roman"/>
                <w:szCs w:val="24"/>
              </w:rPr>
              <w:t>满意率达</w:t>
            </w:r>
            <w:r>
              <w:rPr>
                <w:rFonts w:hint="eastAsia" w:ascii="Times New Roman" w:hAnsi="Times New Roman" w:eastAsia="宋体" w:cs="Times New Roman"/>
                <w:szCs w:val="24"/>
                <w:lang w:eastAsia="zh-CN"/>
              </w:rPr>
              <w:t>85分</w:t>
            </w:r>
            <w:r>
              <w:rPr>
                <w:rFonts w:hint="eastAsia" w:ascii="Times New Roman" w:hAnsi="Times New Roman" w:eastAsia="宋体" w:cs="Times New Roman"/>
                <w:szCs w:val="24"/>
              </w:rPr>
              <w:t>以上</w:t>
            </w:r>
          </w:p>
          <w:p>
            <w:pPr>
              <w:spacing w:line="360" w:lineRule="auto"/>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2、</w:t>
            </w:r>
            <w:r>
              <w:rPr>
                <w:rFonts w:hint="eastAsia" w:ascii="Times New Roman" w:hAnsi="Times New Roman" w:eastAsia="宋体" w:cs="Times New Roman"/>
                <w:szCs w:val="24"/>
                <w:lang w:eastAsia="zh-CN"/>
              </w:rPr>
              <w:t>顾客</w:t>
            </w:r>
            <w:r>
              <w:rPr>
                <w:rFonts w:hint="eastAsia" w:ascii="Times New Roman" w:hAnsi="Times New Roman" w:eastAsia="宋体" w:cs="Times New Roman"/>
                <w:szCs w:val="24"/>
              </w:rPr>
              <w:t xml:space="preserve">投诉处理及时率达100% </w:t>
            </w:r>
          </w:p>
          <w:p>
            <w:pPr>
              <w:spacing w:line="360" w:lineRule="auto"/>
              <w:rPr>
                <w:rFonts w:hint="eastAsia" w:ascii="Times New Roman" w:hAnsi="Times New Roman" w:eastAsia="宋体" w:cs="Times New Roman"/>
                <w:szCs w:val="24"/>
              </w:rPr>
            </w:pPr>
            <w:r>
              <w:rPr>
                <w:rFonts w:hint="eastAsia" w:ascii="Times New Roman" w:hAnsi="Times New Roman" w:eastAsia="宋体" w:cs="Times New Roman"/>
                <w:szCs w:val="24"/>
              </w:rPr>
              <w:t>环境</w:t>
            </w:r>
            <w:r>
              <w:rPr>
                <w:rFonts w:hint="eastAsia" w:ascii="Times New Roman" w:hAnsi="Times New Roman" w:eastAsia="宋体" w:cs="Times New Roman"/>
                <w:szCs w:val="24"/>
                <w:lang w:eastAsia="zh-CN"/>
              </w:rPr>
              <w:t>安全</w:t>
            </w:r>
            <w:r>
              <w:rPr>
                <w:rFonts w:hint="eastAsia" w:ascii="Times New Roman" w:hAnsi="Times New Roman" w:eastAsia="宋体" w:cs="Times New Roman"/>
                <w:szCs w:val="24"/>
              </w:rPr>
              <w:t>目标</w:t>
            </w:r>
          </w:p>
          <w:p>
            <w:pPr>
              <w:spacing w:line="360" w:lineRule="auto"/>
              <w:rPr>
                <w:rFonts w:hint="eastAsia"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1、</w:t>
            </w:r>
            <w:r>
              <w:rPr>
                <w:rFonts w:hint="eastAsia" w:ascii="Times New Roman" w:hAnsi="Times New Roman" w:eastAsia="宋体" w:cs="Times New Roman"/>
                <w:szCs w:val="24"/>
                <w:lang w:eastAsia="zh-CN"/>
              </w:rPr>
              <w:t>固废分类正确分类处理率100%</w:t>
            </w:r>
          </w:p>
          <w:p>
            <w:pPr>
              <w:spacing w:line="360" w:lineRule="auto"/>
              <w:rPr>
                <w:rFonts w:hint="eastAsia"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2、</w:t>
            </w:r>
            <w:r>
              <w:rPr>
                <w:rFonts w:hint="eastAsia" w:ascii="Times New Roman" w:hAnsi="Times New Roman" w:eastAsia="宋体" w:cs="Times New Roman"/>
                <w:szCs w:val="24"/>
              </w:rPr>
              <w:t>触电事故为0</w:t>
            </w:r>
            <w:r>
              <w:rPr>
                <w:rFonts w:hint="eastAsia" w:ascii="Times New Roman" w:hAnsi="Times New Roman" w:eastAsia="宋体" w:cs="Times New Roman"/>
                <w:szCs w:val="24"/>
                <w:lang w:eastAsia="zh-CN"/>
              </w:rPr>
              <w:t xml:space="preserve"> </w:t>
            </w:r>
          </w:p>
          <w:p>
            <w:pPr>
              <w:spacing w:line="360" w:lineRule="auto"/>
              <w:rPr>
                <w:rFonts w:hint="eastAsia"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3、</w:t>
            </w:r>
            <w:r>
              <w:rPr>
                <w:rFonts w:hint="eastAsia" w:ascii="Times New Roman" w:hAnsi="Times New Roman" w:eastAsia="宋体" w:cs="Times New Roman"/>
                <w:szCs w:val="24"/>
                <w:lang w:eastAsia="zh-CN"/>
              </w:rPr>
              <w:t xml:space="preserve">火灾事故为0  </w:t>
            </w:r>
          </w:p>
          <w:p>
            <w:pPr>
              <w:spacing w:line="360" w:lineRule="auto"/>
              <w:rPr>
                <w:rFonts w:ascii="宋体" w:hAnsi="宋体"/>
                <w:b/>
                <w:szCs w:val="21"/>
              </w:rPr>
            </w:pPr>
            <w:r>
              <w:rPr>
                <w:rFonts w:hint="eastAsia" w:ascii="Times New Roman" w:hAnsi="Times New Roman" w:eastAsia="宋体" w:cs="Times New Roman"/>
                <w:szCs w:val="24"/>
                <w:lang w:val="en-US" w:eastAsia="zh-CN"/>
              </w:rPr>
              <w:t>4、</w:t>
            </w:r>
            <w:r>
              <w:rPr>
                <w:rFonts w:hint="eastAsia" w:ascii="Times New Roman" w:hAnsi="Times New Roman" w:eastAsia="宋体" w:cs="Times New Roman"/>
                <w:szCs w:val="24"/>
                <w:lang w:eastAsia="zh-CN"/>
              </w:rPr>
              <w:t xml:space="preserve">意外伤害事故为0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公司编制了《文件、记录控制程序》并按照申请认证的标准要求，建立并形成了文件化的质量管理体系，体系文件对管理体系各过程进行了识别确定，明确了各要素间的相互关系及其管控要求。公司体系文件于20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400" w:lineRule="exact"/>
              <w:ind w:firstLine="525" w:firstLineChars="250"/>
              <w:rPr>
                <w:rFonts w:ascii="宋体" w:hAnsi="宋体"/>
                <w:b/>
                <w:szCs w:val="21"/>
              </w:rPr>
            </w:pPr>
            <w:r>
              <w:rPr>
                <w:rFonts w:hint="eastAsia" w:ascii="Times New Roman" w:hAnsi="Times New Roman" w:eastAsia="宋体" w:cs="Times New Roman"/>
              </w:rPr>
              <w:t>办公面积</w:t>
            </w:r>
            <w:r>
              <w:rPr>
                <w:rFonts w:hint="eastAsia" w:ascii="Times New Roman" w:hAnsi="Times New Roman" w:eastAsia="宋体" w:cs="Times New Roman"/>
                <w:lang w:val="en-US" w:eastAsia="zh-CN"/>
              </w:rPr>
              <w:t>200</w:t>
            </w:r>
            <w:r>
              <w:rPr>
                <w:rFonts w:hint="eastAsia" w:ascii="Times New Roman" w:hAnsi="Times New Roman" w:eastAsia="宋体" w:cs="Times New Roman"/>
              </w:rPr>
              <w:t>平方左右，主</w:t>
            </w:r>
            <w:r>
              <w:rPr>
                <w:rFonts w:hint="eastAsia" w:ascii="宋体" w:hAnsi="宋体" w:cs="宋体"/>
                <w:szCs w:val="21"/>
              </w:rPr>
              <w:t>要生产设备包括</w:t>
            </w:r>
            <w:r>
              <w:rPr>
                <w:rFonts w:hint="eastAsia" w:ascii="宋体" w:hAnsi="宋体" w:cs="宋体"/>
                <w:color w:val="000000"/>
                <w:szCs w:val="21"/>
              </w:rPr>
              <w:t>：</w:t>
            </w:r>
            <w:r>
              <w:t>电脑及办公设备（打印机、复印机、空调等）、对讲机、</w:t>
            </w:r>
            <w:r>
              <w:rPr>
                <w:rFonts w:hint="eastAsia"/>
                <w:lang w:val="en-US" w:eastAsia="zh-CN"/>
              </w:rPr>
              <w:t>清洁工具</w:t>
            </w:r>
            <w:r>
              <w:rPr>
                <w:rStyle w:val="17"/>
                <w:rFonts w:hint="eastAsia" w:ascii="宋体" w:hAnsi="宋体"/>
                <w:color w:val="auto"/>
                <w:szCs w:val="21"/>
              </w:rPr>
              <w:t>等</w:t>
            </w:r>
            <w:r>
              <w:rPr>
                <w:rFonts w:hint="eastAsia" w:ascii="宋体" w:hAnsi="宋体" w:cs="宋体"/>
                <w:color w:val="000000"/>
                <w:szCs w:val="21"/>
              </w:rPr>
              <w:t>，可以满足</w:t>
            </w:r>
            <w:r>
              <w:rPr>
                <w:rFonts w:hint="eastAsia" w:ascii="宋体" w:hAnsi="宋体"/>
                <w:szCs w:val="21"/>
                <w:lang w:val="de-DE"/>
              </w:rPr>
              <w:t>物业管理服务</w:t>
            </w:r>
            <w:r>
              <w:rPr>
                <w:rFonts w:hint="eastAsia" w:ascii="宋体" w:hAnsi="宋体" w:cs="宋体"/>
                <w:color w:val="000000"/>
                <w:szCs w:val="21"/>
              </w:rPr>
              <w:t>需要。业务</w:t>
            </w:r>
            <w:r>
              <w:rPr>
                <w:rFonts w:hint="eastAsia" w:ascii="宋体" w:hAnsi="宋体" w:cs="宋体"/>
                <w:szCs w:val="21"/>
              </w:rPr>
              <w:t>部对设备按月方式进行点检维护保养，并实施</w:t>
            </w:r>
            <w:r>
              <w:rPr>
                <w:rFonts w:hint="eastAsia" w:ascii="宋体" w:hAnsi="宋体" w:cs="宋体"/>
                <w:color w:val="000000"/>
                <w:szCs w:val="21"/>
              </w:rPr>
              <w:t>。特种设备：</w:t>
            </w:r>
            <w:r>
              <w:rPr>
                <w:rFonts w:hint="eastAsia"/>
                <w:szCs w:val="21"/>
              </w:rPr>
              <w:t>无</w:t>
            </w:r>
            <w:r>
              <w:rPr>
                <w:rFonts w:hint="eastAsia" w:ascii="宋体" w:hAnsi="宋体"/>
                <w:szCs w:val="21"/>
              </w:rPr>
              <w:t>。</w:t>
            </w:r>
            <w:r>
              <w:rPr>
                <w:rFonts w:hint="eastAsia" w:ascii="宋体" w:hAnsi="宋体" w:cs="宋体"/>
                <w:color w:val="000000"/>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办公区域内设备布置合理，照明设施齐全，均配备了灭火器、消防栓等设施。目前公司主要为客户提供</w:t>
            </w:r>
            <w:r>
              <w:rPr>
                <w:rFonts w:hint="eastAsia" w:ascii="宋体" w:hAnsi="宋体"/>
                <w:szCs w:val="21"/>
                <w:lang w:val="de-DE"/>
              </w:rPr>
              <w:t>物业管理服务</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ascii="宋体" w:hAnsi="宋体" w:cs="宋体"/>
                <w:szCs w:val="21"/>
              </w:rPr>
              <w:t>保洁服务质量验收检查主要按感官进行检查，暂未配置相应检测设备</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000000"/>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b/>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服务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物业服务质量实施检查与验收的管理要求。内容基本具备全面性、系统性及可操作性。质量检查与验收交付客户前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szCs w:val="21"/>
              </w:rPr>
              <w:t>组织重要环境因素为</w:t>
            </w:r>
            <w:r>
              <w:rPr>
                <w:rFonts w:hint="eastAsia" w:ascii="宋体" w:hAnsi="宋体"/>
                <w:szCs w:val="21"/>
              </w:rPr>
              <w:t>潜在火灾、固废排放</w:t>
            </w:r>
            <w:r>
              <w:rPr>
                <w:rFonts w:hint="eastAsia" w:asciiTheme="minorEastAsia" w:hAnsiTheme="minorEastAsia" w:eastAsiaTheme="minorEastAsia"/>
                <w:bCs/>
                <w:iCs/>
                <w:szCs w:val="21"/>
              </w:rPr>
              <w:t>，需要应对的风险和机遇相关的过程为保洁、安保、办公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宋体" w:hAnsi="宋体" w:eastAsia="宋体" w:cs="Times New Roman"/>
                <w:szCs w:val="21"/>
                <w:lang w:val="en-US" w:eastAsia="zh-CN"/>
              </w:rPr>
              <w:t>1）</w:t>
            </w:r>
            <w:r>
              <w:rPr>
                <w:rFonts w:hint="eastAsia" w:ascii="宋体" w:hAnsi="宋体" w:eastAsia="宋体" w:cs="Times New Roman"/>
                <w:szCs w:val="21"/>
              </w:rPr>
              <w:t>潜在火灾事故发生</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固体废弃物排放（包括废电池、墨盒、废弃消毒瓶等）</w:t>
            </w:r>
            <w:r>
              <w:rPr>
                <w:rFonts w:hint="eastAsia" w:asciiTheme="minorEastAsia" w:hAnsiTheme="minorEastAsia" w:eastAsiaTheme="minorEastAsia"/>
                <w:bCs/>
                <w:iCs/>
                <w:szCs w:val="21"/>
              </w:rPr>
              <w:t>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Theme="minorEastAsia" w:hAnsiTheme="minorEastAsia" w:eastAsiaTheme="minorEastAsia"/>
                <w:bCs/>
                <w:iCs/>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w:t>
            </w:r>
            <w:r>
              <w:rPr>
                <w:rFonts w:hint="eastAsia" w:ascii="宋体" w:hAnsi="宋体" w:eastAsia="宋体" w:cs="Times New Roman"/>
                <w:szCs w:val="21"/>
                <w:lang w:val="en-US" w:eastAsia="zh-CN"/>
              </w:rPr>
              <w:t>1）</w:t>
            </w:r>
            <w:r>
              <w:rPr>
                <w:rFonts w:hint="eastAsia" w:ascii="宋体" w:hAnsi="宋体" w:eastAsia="宋体" w:cs="Times New Roman"/>
                <w:szCs w:val="21"/>
              </w:rPr>
              <w:t>触电</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火灾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人身伤害</w:t>
            </w:r>
            <w:r>
              <w:rPr>
                <w:rFonts w:hint="eastAsia" w:ascii="宋体" w:hAnsi="宋体"/>
                <w:color w:val="000000"/>
                <w:szCs w:val="21"/>
              </w:rPr>
              <w:t>等</w:t>
            </w:r>
            <w:r>
              <w:rPr>
                <w:rFonts w:hint="eastAsia" w:asciiTheme="minorEastAsia" w:hAnsiTheme="minorEastAsia" w:eastAsiaTheme="minorEastAsia"/>
                <w:bCs/>
                <w:iCs/>
                <w:szCs w:val="21"/>
              </w:rPr>
              <w:t>），与之相关的过程有服务、信息处理过程，针对不可接受风险制定了管理方案。控制措施实施有效。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0</w:t>
            </w:r>
            <w:r>
              <w:rPr>
                <w:rFonts w:hint="eastAsia" w:ascii="宋体" w:hAnsi="宋体" w:cs="宋体"/>
                <w:szCs w:val="21"/>
              </w:rPr>
              <w:t>月-20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color w:val="auto"/>
                <w:szCs w:val="21"/>
              </w:rPr>
              <w:t>，2020年</w:t>
            </w:r>
            <w:r>
              <w:rPr>
                <w:rFonts w:hint="eastAsia" w:ascii="宋体" w:hAnsi="宋体" w:cs="宋体"/>
                <w:color w:val="auto"/>
                <w:szCs w:val="21"/>
                <w:lang w:val="en-US" w:eastAsia="zh-CN"/>
              </w:rPr>
              <w:t>11</w:t>
            </w:r>
            <w:r>
              <w:rPr>
                <w:rFonts w:hint="eastAsia" w:ascii="宋体" w:hAnsi="宋体" w:cs="宋体"/>
                <w:color w:val="auto"/>
                <w:szCs w:val="21"/>
              </w:rPr>
              <w:t>月实施，满意度评价9</w:t>
            </w:r>
            <w:r>
              <w:rPr>
                <w:rFonts w:hint="eastAsia" w:ascii="宋体" w:hAnsi="宋体" w:cs="宋体"/>
                <w:color w:val="auto"/>
                <w:szCs w:val="21"/>
                <w:lang w:val="en-US" w:eastAsia="zh-CN"/>
              </w:rPr>
              <w:t>9%</w:t>
            </w:r>
            <w:r>
              <w:rPr>
                <w:rFonts w:hint="eastAsia" w:ascii="宋体" w:hAnsi="宋体" w:cs="宋体"/>
                <w:color w:val="auto"/>
                <w:szCs w:val="21"/>
              </w:rPr>
              <w:t>，总体实现了顾客满意度的质量目标要求。</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240" w:lineRule="exact"/>
              <w:ind w:firstLine="210" w:firstLineChars="100"/>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ascii="宋体" w:hAnsi="宋体"/>
                <w:szCs w:val="21"/>
              </w:rPr>
              <w:t>涉及涉及生</w:t>
            </w:r>
            <w:r>
              <w:rPr>
                <w:rFonts w:hint="eastAsia" w:ascii="宋体" w:hAnsi="宋体"/>
                <w:szCs w:val="21"/>
                <w:lang w:val="en-US" w:eastAsia="zh-CN"/>
              </w:rPr>
              <w:t>综合</w:t>
            </w:r>
            <w:r>
              <w:rPr>
                <w:rFonts w:hint="eastAsia" w:ascii="宋体" w:hAnsi="宋体"/>
                <w:szCs w:val="21"/>
              </w:rPr>
              <w:t>部E8</w:t>
            </w:r>
            <w:r>
              <w:rPr>
                <w:rFonts w:hint="eastAsia" w:ascii="宋体" w:hAnsi="宋体" w:eastAsia="宋体" w:cs="Times New Roman"/>
                <w:szCs w:val="21"/>
              </w:rPr>
              <w:t>.</w:t>
            </w:r>
            <w:r>
              <w:rPr>
                <w:rFonts w:hint="eastAsia" w:ascii="宋体" w:hAnsi="宋体" w:eastAsia="宋体" w:cs="Times New Roman"/>
                <w:szCs w:val="21"/>
                <w:lang w:val="en-US" w:eastAsia="zh-CN"/>
              </w:rPr>
              <w:t>1</w:t>
            </w:r>
            <w:r>
              <w:rPr>
                <w:rFonts w:hint="eastAsia" w:ascii="宋体" w:hAnsi="宋体" w:eastAsia="宋体" w:cs="Times New Roman"/>
                <w:szCs w:val="21"/>
              </w:rPr>
              <w:t xml:space="preserve">条款 </w:t>
            </w:r>
            <w:r>
              <w:rPr>
                <w:rFonts w:hint="eastAsia" w:ascii="宋体" w:hAnsi="宋体" w:eastAsia="宋体" w:cs="Times New Roman"/>
                <w:szCs w:val="21"/>
                <w:lang w:val="en-US" w:eastAsia="zh-CN"/>
              </w:rPr>
              <w:t>办公室垃圾桶未分类</w:t>
            </w:r>
            <w:r>
              <w:rPr>
                <w:rFonts w:hint="eastAsia" w:ascii="宋体" w:hAnsi="宋体"/>
                <w:szCs w:val="21"/>
              </w:rPr>
              <w:t>，无发放记录记录，</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管理评审频次为一年一次、本次管理评审于2020年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rPr>
                <w:rFonts w:ascii="宋体" w:hAnsi="宋体"/>
                <w:b/>
                <w:szCs w:val="21"/>
              </w:rPr>
            </w:pP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b/>
                <w:szCs w:val="21"/>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rPr>
                <w:rFonts w:ascii="宋体" w:hAnsi="宋体"/>
                <w:b/>
                <w:szCs w:val="21"/>
              </w:rPr>
            </w:pP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Cs w:val="21"/>
              </w:rPr>
            </w:pPr>
            <w:r>
              <w:rPr>
                <w:rFonts w:ascii="宋体" w:hAnsi="宋体"/>
                <w:b/>
                <w:szCs w:val="21"/>
              </w:rPr>
              <w:t xml:space="preserve">9. </w:t>
            </w: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ind w:left="-105" w:leftChars="-50" w:firstLine="506" w:firstLineChars="252"/>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FF0000"/>
        </w:rPr>
      </w:pPr>
      <w:r>
        <w:rPr>
          <w:rFonts w:hint="eastAsia"/>
          <w:b/>
          <w:color w:val="000000" w:themeColor="text1"/>
        </w:rPr>
        <w:t xml:space="preserve">1. </w:t>
      </w:r>
      <w:r>
        <w:rPr>
          <w:rFonts w:hint="eastAsia"/>
          <w:b/>
          <w:color w:val="FF0000"/>
        </w:rPr>
        <w:t>本次审核共开具不符合项报告1项；其中</w:t>
      </w:r>
      <w:r>
        <w:rPr>
          <w:b/>
          <w:color w:val="FF0000"/>
        </w:rPr>
        <w:pict>
          <v:line id="直接连接符 1" o:spid="_x0000_s2052" o:spt="20" style="position:absolute;left:0pt;margin-left:210pt;margin-top:16.2pt;height:0pt;width:0pt;z-index:25166336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FF0000"/>
        </w:rPr>
        <w:t>严重不符合 0项，一般不符合 1项，观察项1项，分布在部门项目部条款Q7.1.5，分布见附件。（Q/J/E/S分开填写）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0080" w:type="dxa"/>
          </w:tcPr>
          <w:p>
            <w:pPr>
              <w:rPr>
                <w:b/>
                <w:color w:val="000000" w:themeColor="text1"/>
              </w:rPr>
            </w:pPr>
            <w:r>
              <w:rPr>
                <w:rFonts w:hint="eastAsia"/>
                <w:b/>
                <w:color w:val="000000" w:themeColor="text1"/>
              </w:rPr>
              <w:t>2.对审核范围适宜性结论</w:t>
            </w:r>
          </w:p>
          <w:p>
            <w:pPr>
              <w:ind w:left="-105" w:leftChars="-50"/>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ascii="宋体" w:hAnsi="宋体"/>
                <w:szCs w:val="21"/>
              </w:rPr>
            </w:pPr>
            <w:r>
              <w:rPr>
                <w:rFonts w:ascii="宋体" w:hAnsi="宋体"/>
                <w:b/>
                <w:color w:val="000000"/>
                <w:sz w:val="20"/>
                <w:szCs w:val="20"/>
              </w:rPr>
              <w:t>QMS:</w:t>
            </w:r>
            <w:r>
              <w:rPr>
                <w:rFonts w:hint="eastAsia" w:ascii="宋体" w:hAnsi="宋体"/>
                <w:szCs w:val="21"/>
              </w:rPr>
              <w:t>物业管理服务。</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szCs w:val="21"/>
              </w:rPr>
              <w:t>物业管理服务所涉及的相关环境管理活动。</w:t>
            </w:r>
          </w:p>
          <w:p>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rPr>
              <w:t>物业管理服务所涉及的相关职业健康安全管理活动。</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66" w:leftChars="-405" w:hanging="684" w:hangingChars="326"/>
        <w:rPr>
          <w:b/>
          <w:color w:val="000000" w:themeColor="text1"/>
          <w:sz w:val="16"/>
          <w:szCs w:val="16"/>
        </w:rPr>
      </w:pPr>
      <w:r>
        <w:rPr>
          <w:rFonts w:ascii="宋体" w:hAnsi="宋体"/>
        </w:rPr>
        <w:drawing>
          <wp:anchor distT="0" distB="0" distL="114300" distR="114300" simplePos="0" relativeHeight="251665408" behindDoc="0" locked="0" layoutInCell="1" allowOverlap="1">
            <wp:simplePos x="0" y="0"/>
            <wp:positionH relativeFrom="page">
              <wp:posOffset>2758440</wp:posOffset>
            </wp:positionH>
            <wp:positionV relativeFrom="page">
              <wp:posOffset>1663700</wp:posOffset>
            </wp:positionV>
            <wp:extent cx="817880" cy="509270"/>
            <wp:effectExtent l="0" t="0" r="5080" b="8890"/>
            <wp:wrapNone/>
            <wp:docPr id="6"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20-01-09 10.59.53_副本.jpg"/>
                    <pic:cNvPicPr>
                      <a:picLocks noChangeAspect="1"/>
                    </pic:cNvPicPr>
                  </pic:nvPicPr>
                  <pic:blipFill>
                    <a:blip r:embed="rId6"/>
                    <a:stretch>
                      <a:fillRect/>
                    </a:stretch>
                  </pic:blipFill>
                  <pic:spPr>
                    <a:xfrm>
                      <a:off x="0" y="0"/>
                      <a:ext cx="817880" cy="50927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9504" behindDoc="0" locked="0" layoutInCell="1" allowOverlap="1">
            <wp:simplePos x="0" y="0"/>
            <wp:positionH relativeFrom="column">
              <wp:posOffset>4285615</wp:posOffset>
            </wp:positionH>
            <wp:positionV relativeFrom="paragraph">
              <wp:posOffset>170180</wp:posOffset>
            </wp:positionV>
            <wp:extent cx="548640" cy="381000"/>
            <wp:effectExtent l="0" t="0" r="10160" b="0"/>
            <wp:wrapSquare wrapText="bothSides"/>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7"/>
                    <a:stretch>
                      <a:fillRect/>
                    </a:stretch>
                  </pic:blipFill>
                  <pic:spPr>
                    <a:xfrm>
                      <a:off x="0" y="0"/>
                      <a:ext cx="548640" cy="381000"/>
                    </a:xfrm>
                    <a:prstGeom prst="rect">
                      <a:avLst/>
                    </a:prstGeom>
                  </pic:spPr>
                </pic:pic>
              </a:graphicData>
            </a:graphic>
          </wp:anchor>
        </w:drawing>
      </w:r>
      <w:r>
        <w:rPr>
          <w:rFonts w:hint="eastAsia" w:eastAsia="宋体"/>
          <w:lang w:eastAsia="zh-CN"/>
        </w:rPr>
        <w:drawing>
          <wp:anchor distT="0" distB="0" distL="114300" distR="114300" simplePos="0" relativeHeight="251668480" behindDoc="0" locked="0" layoutInCell="1" allowOverlap="1">
            <wp:simplePos x="0" y="0"/>
            <wp:positionH relativeFrom="column">
              <wp:posOffset>3350260</wp:posOffset>
            </wp:positionH>
            <wp:positionV relativeFrom="paragraph">
              <wp:posOffset>207645</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722630" cy="330200"/>
                    </a:xfrm>
                    <a:prstGeom prst="rect">
                      <a:avLst/>
                    </a:prstGeom>
                  </pic:spPr>
                </pic:pic>
              </a:graphicData>
            </a:graphic>
          </wp:anchor>
        </w:drawing>
      </w:r>
      <w:r>
        <w:rPr>
          <w:sz w:val="22"/>
          <w:szCs w:val="22"/>
        </w:rPr>
        <w:drawing>
          <wp:anchor distT="0" distB="0" distL="114300" distR="114300" simplePos="0" relativeHeight="251667456" behindDoc="0" locked="0" layoutInCell="1" allowOverlap="1">
            <wp:simplePos x="0" y="0"/>
            <wp:positionH relativeFrom="column">
              <wp:posOffset>2640330</wp:posOffset>
            </wp:positionH>
            <wp:positionV relativeFrom="paragraph">
              <wp:posOffset>193040</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9"/>
                    <a:stretch>
                      <a:fillRect/>
                    </a:stretch>
                  </pic:blipFill>
                  <pic:spPr>
                    <a:xfrm>
                      <a:off x="0" y="0"/>
                      <a:ext cx="516255" cy="33845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1614805</wp:posOffset>
            </wp:positionH>
            <wp:positionV relativeFrom="paragraph">
              <wp:posOffset>210820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日期：202</w:t>
      </w:r>
      <w:r>
        <w:rPr>
          <w:rFonts w:hint="eastAsia"/>
          <w:b/>
          <w:color w:val="000000" w:themeColor="text1"/>
          <w:lang w:val="en-US" w:eastAsia="zh-CN"/>
        </w:rPr>
        <w:t>1</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月2</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pacing w:line="360" w:lineRule="auto"/>
        <w:rPr>
          <w:b/>
          <w:color w:val="auto"/>
          <w:szCs w:val="21"/>
          <w:highlight w:val="green"/>
        </w:rPr>
      </w:pPr>
      <w:r>
        <w:rPr>
          <w:rFonts w:hint="eastAsia"/>
          <w:b/>
          <w:color w:val="auto"/>
          <w:szCs w:val="21"/>
          <w:highlight w:val="green"/>
        </w:rPr>
        <w:t>1.  审核中发现的■QMS(  1 )个一般不符合，( 0 )个严重不符合，■验证合格□仍有问题</w:t>
      </w:r>
    </w:p>
    <w:p>
      <w:pPr>
        <w:spacing w:line="360" w:lineRule="auto"/>
        <w:rPr>
          <w:b/>
          <w:color w:val="auto"/>
          <w:szCs w:val="21"/>
          <w:highlight w:val="green"/>
        </w:rPr>
      </w:pPr>
      <w:r>
        <w:rPr>
          <w:rFonts w:hint="eastAsia"/>
          <w:b/>
          <w:color w:val="auto"/>
          <w:szCs w:val="21"/>
          <w:highlight w:val="green"/>
        </w:rPr>
        <w:t>审核中发现的□EMS(   )个一般不符合，(  )个严重不符合，□验证合格□仍有问题</w:t>
      </w:r>
    </w:p>
    <w:p>
      <w:pPr>
        <w:spacing w:line="360" w:lineRule="auto"/>
        <w:rPr>
          <w:b/>
          <w:color w:val="auto"/>
          <w:szCs w:val="21"/>
          <w:highlight w:val="green"/>
        </w:rPr>
      </w:pPr>
      <w:r>
        <w:rPr>
          <w:rFonts w:hint="eastAsia"/>
          <w:b/>
          <w:color w:val="auto"/>
          <w:szCs w:val="21"/>
          <w:highlight w:val="green"/>
        </w:rPr>
        <w:t>审核中发现的□OHSMS(   )个一般不符合，(  )个严重不符合，□验证合格□仍有问题</w:t>
      </w:r>
    </w:p>
    <w:p>
      <w:pPr>
        <w:spacing w:line="360" w:lineRule="auto"/>
        <w:rPr>
          <w:b/>
          <w:color w:val="auto"/>
          <w:szCs w:val="21"/>
          <w:highlight w:val="green"/>
          <w:u w:val="single"/>
        </w:rPr>
      </w:pPr>
      <w:r>
        <w:rPr>
          <w:rFonts w:hint="eastAsia"/>
          <w:b/>
          <w:color w:val="auto"/>
          <w:szCs w:val="21"/>
          <w:highlight w:val="green"/>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ascii="宋体" w:hAnsi="宋体"/>
        </w:rPr>
        <w:drawing>
          <wp:anchor distT="0" distB="0" distL="114300" distR="114300" simplePos="0" relativeHeight="251664384" behindDoc="0" locked="0" layoutInCell="1" allowOverlap="1">
            <wp:simplePos x="0" y="0"/>
            <wp:positionH relativeFrom="page">
              <wp:posOffset>1821815</wp:posOffset>
            </wp:positionH>
            <wp:positionV relativeFrom="page">
              <wp:posOffset>5757545</wp:posOffset>
            </wp:positionV>
            <wp:extent cx="720090" cy="448310"/>
            <wp:effectExtent l="0" t="0" r="3810" b="8890"/>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6"/>
                    <a:stretch>
                      <a:fillRect/>
                    </a:stretch>
                  </pic:blipFill>
                  <pic:spPr>
                    <a:xfrm>
                      <a:off x="0" y="0"/>
                      <a:ext cx="720090" cy="448310"/>
                    </a:xfrm>
                    <a:prstGeom prst="rect">
                      <a:avLst/>
                    </a:prstGeom>
                    <a:noFill/>
                    <a:ln>
                      <a:noFill/>
                    </a:ln>
                  </pic:spPr>
                </pic:pic>
              </a:graphicData>
            </a:graphic>
          </wp:anchor>
        </w:drawing>
      </w:r>
      <w:r>
        <w:rPr>
          <w:rFonts w:hint="eastAsia"/>
          <w:b/>
          <w:color w:val="000000" w:themeColor="text1"/>
          <w:szCs w:val="21"/>
        </w:rPr>
        <w:t>组长签字:                                日期:</w:t>
      </w:r>
      <w:r>
        <w:rPr>
          <w:rFonts w:hint="eastAsia"/>
          <w:b/>
          <w:color w:val="000000" w:themeColor="text1"/>
        </w:rPr>
        <w:t xml:space="preserve"> </w:t>
      </w:r>
      <w:r>
        <w:rPr>
          <w:rFonts w:hint="eastAsia"/>
          <w:b/>
          <w:color w:val="000000" w:themeColor="text1"/>
          <w:highlight w:val="green"/>
        </w:rPr>
        <w:t>202</w:t>
      </w:r>
      <w:r>
        <w:rPr>
          <w:rFonts w:hint="eastAsia"/>
          <w:b/>
          <w:color w:val="000000" w:themeColor="text1"/>
          <w:highlight w:val="green"/>
          <w:lang w:val="en-US" w:eastAsia="zh-CN"/>
        </w:rPr>
        <w:t>1</w:t>
      </w:r>
      <w:r>
        <w:rPr>
          <w:rFonts w:hint="eastAsia"/>
          <w:b/>
          <w:color w:val="000000" w:themeColor="text1"/>
          <w:highlight w:val="green"/>
        </w:rPr>
        <w:t xml:space="preserve"> </w:t>
      </w:r>
      <w:r>
        <w:rPr>
          <w:rFonts w:hint="eastAsia" w:asciiTheme="minorEastAsia" w:hAnsiTheme="minorEastAsia" w:eastAsiaTheme="minorEastAsia"/>
          <w:b/>
          <w:color w:val="000000" w:themeColor="text1"/>
          <w:highlight w:val="green"/>
        </w:rPr>
        <w:t>年</w:t>
      </w:r>
      <w:r>
        <w:rPr>
          <w:rFonts w:hint="eastAsia" w:asciiTheme="minorEastAsia" w:hAnsiTheme="minorEastAsia" w:eastAsiaTheme="minorEastAsia"/>
          <w:b/>
          <w:color w:val="000000" w:themeColor="text1"/>
          <w:highlight w:val="green"/>
          <w:lang w:val="en-US" w:eastAsia="zh-CN"/>
        </w:rPr>
        <w:t>3</w:t>
      </w:r>
      <w:r>
        <w:rPr>
          <w:rFonts w:hint="eastAsia" w:asciiTheme="minorEastAsia" w:hAnsiTheme="minorEastAsia" w:eastAsiaTheme="minorEastAsia"/>
          <w:b/>
          <w:color w:val="000000" w:themeColor="text1"/>
          <w:highlight w:val="green"/>
        </w:rPr>
        <w:t>月2</w:t>
      </w:r>
      <w:r>
        <w:rPr>
          <w:rFonts w:hint="eastAsia" w:asciiTheme="minorEastAsia" w:hAnsiTheme="minorEastAsia" w:eastAsiaTheme="minorEastAsia"/>
          <w:b/>
          <w:color w:val="000000" w:themeColor="text1"/>
          <w:highlight w:val="green"/>
          <w:lang w:val="en-US" w:eastAsia="zh-CN"/>
        </w:rPr>
        <w:t>4</w:t>
      </w:r>
      <w:r>
        <w:rPr>
          <w:rFonts w:hint="eastAsia" w:asciiTheme="minorEastAsia" w:hAnsiTheme="minorEastAsia" w:eastAsiaTheme="minorEastAsia"/>
          <w:b/>
          <w:color w:val="000000" w:themeColor="text1"/>
          <w:highlight w:val="green"/>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w:t>
      </w:r>
      <w:r>
        <w:rPr>
          <w:rFonts w:hint="eastAsia"/>
          <w:b/>
          <w:color w:val="000000" w:themeColor="text1"/>
          <w:sz w:val="26"/>
          <w:szCs w:val="26"/>
          <w:lang w:val="en-US" w:eastAsia="zh-CN"/>
        </w:rPr>
        <w:t>六</w:t>
      </w:r>
      <w:r>
        <w:rPr>
          <w:rFonts w:hint="eastAsia"/>
          <w:b/>
          <w:color w:val="000000" w:themeColor="text1"/>
          <w:sz w:val="26"/>
          <w:szCs w:val="26"/>
        </w:rPr>
        <w:t>、</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w:t>
      </w:r>
      <w:r>
        <w:rPr>
          <w:rFonts w:hint="eastAsia"/>
          <w:b/>
          <w:color w:val="000000" w:themeColor="text1"/>
          <w:sz w:val="26"/>
          <w:szCs w:val="26"/>
          <w:lang w:val="en-US" w:eastAsia="zh-CN"/>
        </w:rPr>
        <w:t>七</w:t>
      </w:r>
      <w:r>
        <w:rPr>
          <w:rFonts w:hint="eastAsia"/>
          <w:b/>
          <w:color w:val="000000" w:themeColor="text1"/>
          <w:sz w:val="26"/>
          <w:szCs w:val="26"/>
        </w:rPr>
        <w:t>、审核报告的发放范围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lang w:val="en-US" w:eastAsia="zh-CN"/>
        </w:rPr>
        <w:t xml:space="preserve">   </w:t>
      </w:r>
      <w:r>
        <w:rPr>
          <w:rFonts w:hint="eastAsia"/>
          <w:b/>
          <w:color w:val="000000" w:themeColor="text1"/>
        </w:rPr>
        <w:t xml:space="preserve"> </w:t>
      </w:r>
      <w:r>
        <w:rPr>
          <w:rFonts w:hint="eastAsia"/>
          <w:b/>
          <w:color w:val="000000" w:themeColor="text1"/>
          <w:lang w:val="en-US" w:eastAsia="zh-CN"/>
        </w:rPr>
        <w:t xml:space="preserve">        </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w:t>
      </w:r>
      <w:r>
        <w:rPr>
          <w:rFonts w:hint="eastAsia"/>
          <w:b/>
          <w:color w:val="000000" w:themeColor="text1"/>
          <w:lang w:val="en-US" w:eastAsia="zh-CN"/>
        </w:rPr>
        <w:t xml:space="preserve">              </w:t>
      </w:r>
      <w:r>
        <w:rPr>
          <w:rFonts w:hint="eastAsia"/>
          <w:b/>
          <w:color w:val="000000" w:themeColor="text1"/>
        </w:rPr>
        <w:t>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w:t>
      </w:r>
      <w:r>
        <w:rPr>
          <w:rFonts w:hint="eastAsia" w:ascii="宋体" w:hAnsi="宋体"/>
          <w:b/>
          <w:color w:val="000000" w:themeColor="text1"/>
          <w:sz w:val="26"/>
          <w:szCs w:val="26"/>
          <w:lang w:val="en-US" w:eastAsia="zh-CN"/>
        </w:rPr>
        <w:t>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lang w:val="en-US" w:eastAsia="zh-CN"/>
        </w:rPr>
        <w:t>十九</w:t>
      </w:r>
      <w:r>
        <w:rPr>
          <w:rFonts w:hint="eastAsia" w:ascii="宋体" w:hAnsi="宋体"/>
          <w:b/>
          <w:color w:val="000000" w:themeColor="text1"/>
          <w:sz w:val="26"/>
          <w:szCs w:val="26"/>
        </w:rPr>
        <w:t>、填表说明：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2"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2"/>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7C5C19"/>
    <w:multiLevelType w:val="singleLevel"/>
    <w:tmpl w:val="B57C5C19"/>
    <w:lvl w:ilvl="0" w:tentative="0">
      <w:start w:val="3"/>
      <w:numFmt w:val="decimal"/>
      <w:lvlText w:val="%1."/>
      <w:lvlJc w:val="left"/>
      <w:pPr>
        <w:tabs>
          <w:tab w:val="left" w:pos="312"/>
        </w:tabs>
      </w:pPr>
    </w:lvl>
  </w:abstractNum>
  <w:abstractNum w:abstractNumId="1">
    <w:nsid w:val="DA7BDFAB"/>
    <w:multiLevelType w:val="singleLevel"/>
    <w:tmpl w:val="DA7BDFAB"/>
    <w:lvl w:ilvl="0" w:tentative="0">
      <w:start w:val="2"/>
      <w:numFmt w:val="decimal"/>
      <w:suff w:val="nothing"/>
      <w:lvlText w:val="%1、"/>
      <w:lvlJc w:val="left"/>
    </w:lvl>
  </w:abstractNum>
  <w:abstractNum w:abstractNumId="2">
    <w:nsid w:val="E89D2F20"/>
    <w:multiLevelType w:val="singleLevel"/>
    <w:tmpl w:val="E89D2F20"/>
    <w:lvl w:ilvl="0" w:tentative="0">
      <w:start w:val="2"/>
      <w:numFmt w:val="decimal"/>
      <w:lvlText w:val="%1."/>
      <w:lvlJc w:val="left"/>
      <w:pPr>
        <w:tabs>
          <w:tab w:val="left" w:pos="312"/>
        </w:tabs>
      </w:pPr>
    </w:lvl>
  </w:abstractNum>
  <w:abstractNum w:abstractNumId="3">
    <w:nsid w:val="2680083D"/>
    <w:multiLevelType w:val="singleLevel"/>
    <w:tmpl w:val="2680083D"/>
    <w:lvl w:ilvl="0" w:tentative="0">
      <w:start w:val="8"/>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BC70B8"/>
    <w:rsid w:val="25CC5A17"/>
    <w:rsid w:val="47CF18F8"/>
    <w:rsid w:val="559E4970"/>
    <w:rsid w:val="6E5D5C06"/>
    <w:rsid w:val="7C4B1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 w:type="character" w:customStyle="1" w:styleId="17">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19</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2021-03-24T04:14:00Z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F1A659FFA9A24A45B1E4FC08B3C42A5E</vt:lpwstr>
  </property>
</Properties>
</file>