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销售部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孙会锋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陪同人员：</w:t>
            </w:r>
            <w:bookmarkStart w:id="0" w:name="_GoBack"/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邓晟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褚敏杰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2021.3.31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Q:5.3组织的岗位、职责和权限、6.2质量目标、8.2顾客要求、8.5.3顾客财产、8.5.5交付后活动、9.1.2顾客满意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岗位、职责和权限</w:t>
            </w:r>
          </w:p>
        </w:tc>
        <w:tc>
          <w:tcPr>
            <w:tcW w:w="1225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本部门现有人员3人，部长1人，管理人员2人；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与顾客有关的过程控制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顾客满意控制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顾客财产控制；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本部门环境因素危险源的识别评价控制。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1225" w:type="dxa"/>
          </w:tcPr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查见“质量\环境\职业健康安全目标分解考核表”，见销售部的目标：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合同履约率达100%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顾客满意度达95%以上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固体废弃物分类处置率100%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火灾事故为0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2020.12，目标分解考核表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交付后的活动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介绍说，公司产品目前主要是公交车候车亭，其他产品暂未接到订单。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提供“公交候车亭采购合同”——与田心镇人民政府签订；未标明合同签订时间，交流；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查见合同审批表，见该合同经过了公司审批，双方签字盖章。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介绍说，交付后提供1年保修，1年后提供有偿售后服务。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QEO:8.5.3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介绍说，本公司无顾客或外部供方的财产。以后如果发生，按照管理手册8.5.3顾客或外部供方的财产条款实行。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QEO:9.1.2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查见“顾客满意程度调查表”，销售部于2020年10月11日进行顾客满意度调查，发放调查表8份，回收调查表共 8份，抽见中山市公交自行车有限公司等。调查项目包括产品质量、价格比、交货期、售后服务等。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查见“顾客满意度调查分析”，显示对本次调查的结果进行统计分析，顾客满意度98.2。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环境因素/危险源的识别与评价、措施的策划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6.1.2</w:t>
            </w:r>
          </w:p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查“环境因素辨识和评价表”，涉及销售部的环境因素有生活垃圾的处置不当污染环境、办公场所吸烟污染环境、复印机打印机废墨盒处置污染环境、火灾发生后废弃物污染大气、水土等。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采取打分法评价，查到“重要环境因素清单”，评价出噪音排放、潜在火灾、固废排放、粉尘排放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、废气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经评价销售部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活动过程中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的危险源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，主要包括火灾、中毒和传染病、其他伤害、中暑、爆炸、触电、辐射等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对识别出的危险源采取D=LEC进行评价，查到“不可接受风险清单”，评价出重大危险源包括：火灾、触电、机械伤害、人身伤害等。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经评价销售部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策划了控制措施，制订了环境、职业健康安全管理方案。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现场观察：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</w:t>
            </w:r>
            <w:r>
              <w:rPr>
                <w:rFonts w:hint="default"/>
                <w:color w:val="auto"/>
                <w:lang w:val="en-US" w:eastAsia="zh-CN"/>
              </w:rPr>
              <w:t>对顾客及相关方施加影响的管理规定</w:t>
            </w:r>
            <w:r>
              <w:rPr>
                <w:rFonts w:hint="eastAsia"/>
                <w:color w:val="auto"/>
                <w:lang w:val="en-US" w:eastAsia="zh-CN"/>
              </w:rPr>
              <w:t>”，有效文件。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5F9D"/>
    <w:rsid w:val="0C7F1A28"/>
    <w:rsid w:val="176710B2"/>
    <w:rsid w:val="27972C69"/>
    <w:rsid w:val="44B715F2"/>
    <w:rsid w:val="4FC74D6F"/>
    <w:rsid w:val="5B50232E"/>
    <w:rsid w:val="78DD71BC"/>
    <w:rsid w:val="7A363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9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2021-03-30T08:53:20Z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