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主管领导：曾科进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陪同人员：邓晟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2021.3.31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8.4外部提供过程、产品和服务的控制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现有3人，部长1人，会计1人，出纳1人；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影响主要供应商相关方的环境行为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采取打分法评价，查到“重要环境因素清单”，评价出噪音排放、潜在火灾、固废排放、粉尘排放为重要环境因素。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对识别出的危险源采取D=LEC进行评价，查到“不可接受风险清单”，评价出重大危险源包括：火灾、触电、机械伤害、人身伤害等。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提供“至相关方告知书”，介绍说，会对来公司的相关方进行告知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查见“供方调查评价表”，见对江西铁汉实业有限公司</w:t>
            </w:r>
            <w:r>
              <w:rPr>
                <w:rFonts w:hint="eastAsia"/>
                <w:highlight w:val="none"/>
                <w:lang w:val="en-US" w:eastAsia="zh-CN"/>
              </w:rPr>
              <w:t>——钢材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上海瞬锦铝业有限公司——铝板、上海汇丽塔格板材有限公司——耐力板、阿克苏诺贝粉末涂料有限公司——塑粉、江西拓源钢铁有限公司——钢材、新余华城钢化玻璃有限责任公司——钢化玻璃等6个厂家或供应商进行了调查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pacing w:val="-6"/>
                <w:sz w:val="21"/>
                <w:szCs w:val="21"/>
                <w:highlight w:val="none"/>
                <w:lang w:val="en-US" w:eastAsia="zh-CN"/>
              </w:rPr>
              <w:t>供方调查时，未对供方提供的材料可能造成的职业健康安全影响进行调查，交流；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钢材——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江西铁汉实业有限公司，2020.9.30；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铝板——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上海瞬锦铝业有限公司，2020.10.22；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耐力板——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上海汇丽塔格板材有限公司，2020.12.17；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塑粉——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阿克苏诺贝粉末涂料有限公司，2019.5.25-2020.12.31；</w:t>
            </w:r>
          </w:p>
          <w:p>
            <w:pPr>
              <w:adjustRightInd w:val="0"/>
              <w:snapToGrid w:val="0"/>
              <w:spacing w:line="360" w:lineRule="auto"/>
              <w:ind w:left="420" w:leftChars="200" w:right="105" w:rightChars="50" w:firstLine="0" w:firstLineChars="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钢化玻璃——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新余华城钢化玻璃有限责任公司，2020.5.11；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以上合同明确了产品名称、商标、型号、数量、金额、质量技术标准、运输、包装、验收、结算等；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查见上述合同的合同审批表；合同审批同意后，双方签字盖章；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65538"/>
    <w:rsid w:val="4915250C"/>
    <w:rsid w:val="69CD4B53"/>
    <w:rsid w:val="6E70799D"/>
    <w:rsid w:val="7369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2021-03-31T01:25:40Z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