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28" w:type="dxa"/>
          <w:right w:w="108" w:type="dxa"/>
        </w:tblCellMar>
      </w:tblPr>
      <w:tblGrid>
        <w:gridCol w:w="2010"/>
        <w:gridCol w:w="111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515" w:hRule="atLeast"/>
        </w:trPr>
        <w:tc>
          <w:tcPr>
            <w:tcW w:w="201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111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w:t>
            </w:r>
            <w:r>
              <w:rPr>
                <w:rFonts w:hint="eastAsia"/>
                <w:color w:val="auto"/>
                <w:sz w:val="24"/>
                <w:szCs w:val="24"/>
                <w:lang w:val="en-US" w:eastAsia="zh-CN"/>
              </w:rPr>
              <w:t xml:space="preserve">行政部及厂区           </w:t>
            </w:r>
            <w:r>
              <w:rPr>
                <w:rFonts w:hint="eastAsia"/>
                <w:color w:val="auto"/>
                <w:sz w:val="24"/>
                <w:szCs w:val="24"/>
              </w:rPr>
              <w:t>主管领导：</w:t>
            </w:r>
            <w:r>
              <w:rPr>
                <w:rFonts w:hint="eastAsia"/>
                <w:color w:val="auto"/>
                <w:sz w:val="24"/>
                <w:szCs w:val="24"/>
                <w:lang w:val="en-US" w:eastAsia="zh-CN"/>
              </w:rPr>
              <w:t xml:space="preserve">邓晟         </w:t>
            </w:r>
            <w:r>
              <w:rPr>
                <w:rFonts w:hint="eastAsia"/>
                <w:color w:val="auto"/>
                <w:sz w:val="24"/>
                <w:szCs w:val="24"/>
              </w:rPr>
              <w:t>陪同人员：曾科进</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403" w:hRule="atLeast"/>
        </w:trPr>
        <w:tc>
          <w:tcPr>
            <w:tcW w:w="2010" w:type="dxa"/>
            <w:vMerge w:val="continue"/>
            <w:vAlign w:val="center"/>
          </w:tcPr>
          <w:p>
            <w:pPr>
              <w:rPr>
                <w:color w:val="auto"/>
              </w:rPr>
            </w:pPr>
          </w:p>
        </w:tc>
        <w:tc>
          <w:tcPr>
            <w:tcW w:w="111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 xml:space="preserve">褚敏杰                     </w:t>
            </w:r>
            <w:r>
              <w:rPr>
                <w:rFonts w:hint="eastAsia"/>
                <w:color w:val="auto"/>
                <w:sz w:val="24"/>
                <w:szCs w:val="24"/>
              </w:rPr>
              <w:t>审核时间：</w:t>
            </w:r>
            <w:r>
              <w:rPr>
                <w:rFonts w:hint="eastAsia"/>
                <w:color w:val="auto"/>
                <w:sz w:val="24"/>
                <w:szCs w:val="24"/>
                <w:lang w:val="en-US" w:eastAsia="zh-CN"/>
              </w:rPr>
              <w:t>2021.3.30</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516" w:hRule="atLeast"/>
        </w:trPr>
        <w:tc>
          <w:tcPr>
            <w:tcW w:w="2010" w:type="dxa"/>
            <w:vMerge w:val="continue"/>
            <w:vAlign w:val="center"/>
          </w:tcPr>
          <w:p>
            <w:pPr>
              <w:rPr>
                <w:color w:val="auto"/>
              </w:rPr>
            </w:pPr>
          </w:p>
        </w:tc>
        <w:tc>
          <w:tcPr>
            <w:tcW w:w="1110" w:type="dxa"/>
            <w:vMerge w:val="continue"/>
            <w:vAlign w:val="center"/>
          </w:tcPr>
          <w:p>
            <w:pPr>
              <w:rPr>
                <w:color w:val="auto"/>
              </w:rPr>
            </w:pPr>
          </w:p>
        </w:tc>
        <w:tc>
          <w:tcPr>
            <w:tcW w:w="10004" w:type="dxa"/>
            <w:vAlign w:val="center"/>
          </w:tcPr>
          <w:p>
            <w:pPr>
              <w:rPr>
                <w:rFonts w:hint="eastAsia"/>
                <w:color w:val="auto"/>
                <w:sz w:val="24"/>
                <w:szCs w:val="24"/>
              </w:rPr>
            </w:pPr>
            <w:r>
              <w:rPr>
                <w:rFonts w:hint="eastAsia"/>
                <w:color w:val="auto"/>
                <w:sz w:val="24"/>
                <w:szCs w:val="24"/>
              </w:rPr>
              <w:t>审核条款：</w:t>
            </w:r>
          </w:p>
          <w:p>
            <w:pPr>
              <w:keepNext w:val="0"/>
              <w:keepLines w:val="0"/>
              <w:pageBreakBefore w:val="0"/>
              <w:widowControl w:val="0"/>
              <w:kinsoku/>
              <w:wordWrap/>
              <w:overflowPunct/>
              <w:topLinePunct w:val="0"/>
              <w:autoSpaceDE/>
              <w:autoSpaceDN/>
              <w:bidi w:val="0"/>
              <w:adjustRightInd/>
              <w:snapToGrid w:val="0"/>
              <w:spacing w:line="360" w:lineRule="auto"/>
              <w:ind w:right="105" w:rightChars="50"/>
              <w:jc w:val="left"/>
              <w:textAlignment w:val="auto"/>
              <w:rPr>
                <w:rFonts w:ascii="宋体" w:hAnsi="宋体" w:cs="Arial"/>
                <w:color w:val="auto"/>
                <w:spacing w:val="-6"/>
                <w:sz w:val="21"/>
                <w:szCs w:val="21"/>
                <w:u w:val="none"/>
              </w:rPr>
            </w:pPr>
            <w:r>
              <w:rPr>
                <w:rFonts w:hint="eastAsia" w:ascii="宋体" w:hAnsi="宋体" w:cs="Arial"/>
                <w:color w:val="auto"/>
                <w:spacing w:val="-6"/>
                <w:sz w:val="21"/>
                <w:szCs w:val="21"/>
                <w:u w:val="none"/>
              </w:rPr>
              <w:t>Q:5.3组织的岗位、职责和权限、6.2质量目标、</w:t>
            </w:r>
            <w:r>
              <w:rPr>
                <w:rFonts w:hint="eastAsia" w:ascii="宋体" w:hAnsi="宋体" w:cs="Arial"/>
                <w:color w:val="auto"/>
                <w:spacing w:val="-6"/>
                <w:sz w:val="21"/>
                <w:szCs w:val="21"/>
                <w:u w:val="none"/>
                <w:lang w:val="en-US" w:eastAsia="zh-CN"/>
              </w:rPr>
              <w:t>7.1.2人员、</w:t>
            </w:r>
            <w:r>
              <w:rPr>
                <w:rFonts w:hint="eastAsia" w:ascii="宋体" w:hAnsi="宋体" w:cs="Arial"/>
                <w:color w:val="auto"/>
                <w:spacing w:val="-6"/>
                <w:sz w:val="21"/>
                <w:szCs w:val="21"/>
                <w:u w:val="none"/>
              </w:rPr>
              <w:t>7.2能力、</w:t>
            </w:r>
            <w:r>
              <w:rPr>
                <w:rFonts w:hint="eastAsia" w:ascii="宋体" w:hAnsi="宋体" w:cs="Arial"/>
                <w:color w:val="auto"/>
                <w:spacing w:val="-6"/>
                <w:sz w:val="21"/>
                <w:szCs w:val="21"/>
                <w:u w:val="none"/>
                <w:lang w:val="en-US" w:eastAsia="zh-CN"/>
              </w:rPr>
              <w:t>7.3意识、7.1.6组织知识、</w:t>
            </w:r>
            <w:r>
              <w:rPr>
                <w:rFonts w:hint="eastAsia" w:ascii="宋体" w:hAnsi="宋体" w:cs="Arial"/>
                <w:color w:val="auto"/>
                <w:spacing w:val="-6"/>
                <w:sz w:val="21"/>
                <w:szCs w:val="21"/>
                <w:u w:val="none"/>
              </w:rPr>
              <w:t>9.1.1监视、测量、分析和评价总则、9.1.3分析与评价、9.2内部审核</w:t>
            </w:r>
            <w:r>
              <w:rPr>
                <w:rFonts w:hint="eastAsia" w:ascii="宋体" w:hAnsi="宋体" w:cs="Arial"/>
                <w:color w:val="auto"/>
                <w:spacing w:val="-6"/>
                <w:sz w:val="21"/>
                <w:szCs w:val="21"/>
              </w:rPr>
              <w:t>、10.2不符合/事件和纠正措施</w:t>
            </w:r>
          </w:p>
          <w:p>
            <w:pPr>
              <w:adjustRightInd w:val="0"/>
              <w:snapToGrid w:val="0"/>
              <w:spacing w:line="360" w:lineRule="auto"/>
              <w:ind w:right="105" w:rightChars="50"/>
              <w:textAlignment w:val="baseline"/>
              <w:rPr>
                <w:rFonts w:hint="eastAsia"/>
                <w:color w:val="auto"/>
                <w:sz w:val="24"/>
                <w:szCs w:val="24"/>
              </w:rPr>
            </w:pPr>
            <w:r>
              <w:rPr>
                <w:rFonts w:hint="eastAsia" w:ascii="宋体" w:hAnsi="宋体" w:cs="Arial"/>
                <w:color w:val="auto"/>
                <w:spacing w:val="-6"/>
                <w:sz w:val="21"/>
                <w:szCs w:val="21"/>
                <w:u w:val="none"/>
              </w:rPr>
              <w:t>E/O:5.3组织的岗位、职责和权限、6.1.2环境因素/危险源的识别与评价、6.1.4措施的策划、6.2环境/职业健康安全目标</w:t>
            </w:r>
            <w:r>
              <w:rPr>
                <w:rFonts w:hint="eastAsia" w:ascii="宋体" w:hAnsi="宋体" w:cs="Arial"/>
                <w:color w:val="auto"/>
                <w:spacing w:val="-6"/>
                <w:sz w:val="21"/>
                <w:szCs w:val="21"/>
                <w:u w:val="none"/>
                <w:lang w:val="en-US" w:eastAsia="zh-CN"/>
              </w:rPr>
              <w:t>及控制的策划</w:t>
            </w:r>
            <w:r>
              <w:rPr>
                <w:rFonts w:hint="eastAsia" w:ascii="宋体" w:hAnsi="宋体" w:cs="Arial"/>
                <w:color w:val="auto"/>
                <w:spacing w:val="-6"/>
                <w:sz w:val="21"/>
                <w:szCs w:val="21"/>
                <w:u w:val="none"/>
              </w:rPr>
              <w:t>、7.2能力、8.1运行策划和控制</w:t>
            </w:r>
            <w:r>
              <w:rPr>
                <w:rFonts w:hint="eastAsia" w:ascii="宋体" w:hAnsi="宋体" w:cs="Arial"/>
                <w:color w:val="auto"/>
                <w:spacing w:val="-6"/>
                <w:sz w:val="21"/>
                <w:szCs w:val="21"/>
                <w:u w:val="none"/>
                <w:lang w:eastAsia="zh-CN"/>
              </w:rPr>
              <w:t>、</w:t>
            </w:r>
            <w:r>
              <w:rPr>
                <w:rFonts w:hint="eastAsia" w:ascii="宋体" w:hAnsi="宋体" w:cs="Arial"/>
                <w:color w:val="auto"/>
                <w:spacing w:val="-6"/>
                <w:sz w:val="21"/>
                <w:szCs w:val="21"/>
              </w:rPr>
              <w:t>8.2应急准备和响应、</w:t>
            </w:r>
            <w:r>
              <w:rPr>
                <w:rFonts w:hint="eastAsia" w:ascii="宋体" w:hAnsi="宋体" w:cs="Arial"/>
                <w:color w:val="auto"/>
                <w:spacing w:val="-6"/>
                <w:sz w:val="21"/>
                <w:szCs w:val="21"/>
                <w:u w:val="none"/>
              </w:rPr>
              <w:t>9.1.1监视、测量、分析和评价、9.2 内部审核</w:t>
            </w:r>
            <w:r>
              <w:rPr>
                <w:rFonts w:hint="eastAsia" w:ascii="宋体" w:hAnsi="宋体" w:cs="Arial"/>
                <w:color w:val="auto"/>
                <w:spacing w:val="-6"/>
                <w:sz w:val="21"/>
                <w:szCs w:val="21"/>
              </w:rPr>
              <w:t>、10.2不符合/事件和纠正措施</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1255" w:hRule="atLeast"/>
        </w:trPr>
        <w:tc>
          <w:tcPr>
            <w:tcW w:w="2010" w:type="dxa"/>
          </w:tcPr>
          <w:p>
            <w:pPr>
              <w:rPr>
                <w:color w:val="auto"/>
              </w:rPr>
            </w:pPr>
            <w:r>
              <w:rPr>
                <w:rFonts w:hint="eastAsia"/>
                <w:color w:val="auto"/>
              </w:rPr>
              <w:t>岗位、职责和权限</w:t>
            </w:r>
          </w:p>
        </w:tc>
        <w:tc>
          <w:tcPr>
            <w:tcW w:w="1110" w:type="dxa"/>
          </w:tcPr>
          <w:p>
            <w:pPr>
              <w:jc w:val="center"/>
              <w:rPr>
                <w:rFonts w:hint="default" w:eastAsia="宋体"/>
                <w:color w:val="auto"/>
                <w:lang w:val="en-US" w:eastAsia="zh-CN"/>
              </w:rPr>
            </w:pPr>
            <w:r>
              <w:rPr>
                <w:rFonts w:hint="eastAsia" w:ascii="宋体" w:hAnsi="宋体" w:cs="Arial"/>
                <w:color w:val="auto"/>
                <w:spacing w:val="-6"/>
                <w:sz w:val="21"/>
                <w:szCs w:val="21"/>
                <w:lang w:val="en-US" w:eastAsia="zh-CN"/>
              </w:rPr>
              <w:t>QEO:5.3</w:t>
            </w:r>
          </w:p>
        </w:tc>
        <w:tc>
          <w:tcPr>
            <w:tcW w:w="10004" w:type="dxa"/>
          </w:tcPr>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行政部现有1人，</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主要负责行政管理和人力资源管理；</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组织本部门的环境因素、危险源的识别、评价及控制；</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lang w:val="en-US" w:eastAsia="zh-CN"/>
              </w:rPr>
              <w:t>协助做好管理评审工作、组织开展内部审核。</w:t>
            </w:r>
          </w:p>
        </w:tc>
        <w:tc>
          <w:tcPr>
            <w:tcW w:w="1585"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940" w:hRule="atLeast"/>
        </w:trPr>
        <w:tc>
          <w:tcPr>
            <w:tcW w:w="2010" w:type="dxa"/>
          </w:tcPr>
          <w:p>
            <w:pPr>
              <w:rPr>
                <w:rFonts w:hint="eastAsia" w:eastAsia="宋体"/>
                <w:color w:val="auto"/>
                <w:lang w:val="en-US" w:eastAsia="zh-CN"/>
              </w:rPr>
            </w:pPr>
            <w:r>
              <w:rPr>
                <w:rFonts w:hint="eastAsia"/>
                <w:color w:val="auto"/>
                <w:lang w:val="en-US" w:eastAsia="zh-CN"/>
              </w:rPr>
              <w:t>目标</w:t>
            </w:r>
          </w:p>
        </w:tc>
        <w:tc>
          <w:tcPr>
            <w:tcW w:w="1110" w:type="dxa"/>
          </w:tcPr>
          <w:p>
            <w:pPr>
              <w:jc w:val="center"/>
              <w:rPr>
                <w:rFonts w:hint="default"/>
                <w:color w:val="auto"/>
                <w:lang w:val="en-US"/>
              </w:rPr>
            </w:pPr>
            <w:r>
              <w:rPr>
                <w:rFonts w:hint="eastAsia" w:ascii="宋体" w:hAnsi="宋体" w:cs="Arial"/>
                <w:color w:val="auto"/>
                <w:spacing w:val="-6"/>
                <w:sz w:val="21"/>
                <w:szCs w:val="21"/>
                <w:lang w:val="en-US" w:eastAsia="zh-CN"/>
              </w:rPr>
              <w:t>QEO:6.2</w:t>
            </w:r>
          </w:p>
        </w:tc>
        <w:tc>
          <w:tcPr>
            <w:tcW w:w="10004" w:type="dxa"/>
          </w:tcPr>
          <w:p>
            <w:pPr>
              <w:adjustRightInd w:val="0"/>
              <w:snapToGrid w:val="0"/>
              <w:spacing w:line="360" w:lineRule="auto"/>
              <w:ind w:right="105" w:rightChars="50" w:firstLine="396" w:firstLineChars="20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以方针为框架，建立了公司管理目标：</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质量目标：</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产品出厂合格率100%；</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顾客满意度≥95分 ；</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环保安全目标：</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固体废弃物分类处置率100%；</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火灾事故发生率为0；</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职业病发生率为0；</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员工重大伤亡率为0；</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查见“质量\环境\职业健康安全目标分解考核表”，见行政部的目标：</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a.文件使用有效率100%；</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b.培训合格率100%；</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 xml:space="preserve">c. 重大交通事故为零； </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d．火灾、爆炸事故为0；</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e. 固体废弃物分类处置率100%；</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查见目标指标管理方案，见对重要</w:t>
            </w:r>
            <w:r>
              <w:rPr>
                <w:rFonts w:hint="eastAsia" w:ascii="宋体" w:hAnsi="宋体" w:cs="Arial"/>
                <w:spacing w:val="-6"/>
                <w:sz w:val="21"/>
                <w:szCs w:val="21"/>
                <w:lang w:val="en-US" w:eastAsia="zh-CN"/>
              </w:rPr>
              <w:t>环境因素和不可接受风险</w:t>
            </w:r>
            <w:r>
              <w:rPr>
                <w:rFonts w:hint="eastAsia" w:ascii="宋体" w:hAnsi="宋体" w:eastAsia="宋体" w:cs="Arial"/>
                <w:color w:val="auto"/>
                <w:spacing w:val="-6"/>
                <w:sz w:val="21"/>
                <w:szCs w:val="21"/>
                <w:lang w:val="en-US" w:eastAsia="zh-CN"/>
              </w:rPr>
              <w:t>建立了管理方案，明确了控制措施、责任部门、责任人；</w:t>
            </w:r>
          </w:p>
          <w:p>
            <w:pPr>
              <w:adjustRightInd w:val="0"/>
              <w:snapToGrid w:val="0"/>
              <w:spacing w:line="360" w:lineRule="auto"/>
              <w:ind w:right="105" w:rightChars="50" w:firstLine="396" w:firstLineChars="200"/>
              <w:textAlignment w:val="baseline"/>
              <w:rPr>
                <w:rFonts w:hint="default"/>
                <w:color w:val="auto"/>
                <w:lang w:val="en-US" w:eastAsia="zh-CN"/>
              </w:rPr>
            </w:pPr>
            <w:r>
              <w:rPr>
                <w:rFonts w:hint="eastAsia" w:ascii="宋体" w:hAnsi="宋体" w:eastAsia="宋体" w:cs="Arial"/>
                <w:color w:val="auto"/>
                <w:spacing w:val="-6"/>
                <w:sz w:val="21"/>
                <w:szCs w:val="21"/>
                <w:lang w:val="en-US" w:eastAsia="zh-CN"/>
              </w:rPr>
              <w:t>2020.12，考核</w:t>
            </w:r>
            <w:r>
              <w:rPr>
                <w:rFonts w:hint="eastAsia" w:ascii="宋体" w:hAnsi="宋体" w:cs="Arial"/>
                <w:color w:val="auto"/>
                <w:spacing w:val="-6"/>
                <w:sz w:val="21"/>
                <w:szCs w:val="21"/>
                <w:lang w:val="en-US" w:eastAsia="zh-CN"/>
              </w:rPr>
              <w:t>目标</w:t>
            </w:r>
            <w:r>
              <w:rPr>
                <w:rFonts w:hint="eastAsia" w:ascii="宋体" w:hAnsi="宋体" w:eastAsia="宋体" w:cs="Arial"/>
                <w:color w:val="auto"/>
                <w:spacing w:val="-6"/>
                <w:sz w:val="21"/>
                <w:szCs w:val="21"/>
                <w:lang w:val="en-US" w:eastAsia="zh-CN"/>
              </w:rPr>
              <w:t>均已全部完成。</w:t>
            </w:r>
          </w:p>
        </w:tc>
        <w:tc>
          <w:tcPr>
            <w:tcW w:w="1585"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240" w:hRule="atLeast"/>
        </w:trPr>
        <w:tc>
          <w:tcPr>
            <w:tcW w:w="2010" w:type="dxa"/>
          </w:tcPr>
          <w:p>
            <w:pPr>
              <w:rPr>
                <w:rFonts w:hint="eastAsia"/>
                <w:color w:val="auto"/>
                <w:lang w:val="en-US" w:eastAsia="zh-CN"/>
              </w:rPr>
            </w:pPr>
            <w:r>
              <w:rPr>
                <w:rFonts w:hint="eastAsia"/>
                <w:color w:val="auto"/>
                <w:lang w:val="en-US" w:eastAsia="zh-CN"/>
              </w:rPr>
              <w:t>环境因素/危险源的识别与评价</w:t>
            </w:r>
          </w:p>
          <w:p>
            <w:pPr>
              <w:rPr>
                <w:rFonts w:hint="eastAsia"/>
                <w:color w:val="auto"/>
                <w:lang w:val="en-US" w:eastAsia="zh-CN"/>
              </w:rPr>
            </w:pPr>
            <w:r>
              <w:rPr>
                <w:rFonts w:hint="eastAsia"/>
                <w:color w:val="auto"/>
                <w:lang w:val="en-US" w:eastAsia="zh-CN"/>
              </w:rPr>
              <w:t>措施的策划</w:t>
            </w:r>
          </w:p>
        </w:tc>
        <w:tc>
          <w:tcPr>
            <w:tcW w:w="1110" w:type="dxa"/>
          </w:tcPr>
          <w:p>
            <w:pPr>
              <w:jc w:val="center"/>
              <w:rPr>
                <w:rFonts w:hint="eastAsia"/>
                <w:color w:val="auto"/>
                <w:lang w:val="en-US" w:eastAsia="zh-CN"/>
              </w:rPr>
            </w:pPr>
            <w:r>
              <w:rPr>
                <w:rFonts w:hint="eastAsia"/>
                <w:color w:val="auto"/>
                <w:lang w:val="en-US" w:eastAsia="zh-CN"/>
              </w:rPr>
              <w:t>EO:6.1.2</w:t>
            </w:r>
          </w:p>
          <w:p>
            <w:pPr>
              <w:jc w:val="center"/>
              <w:rPr>
                <w:rFonts w:hint="eastAsia"/>
                <w:color w:val="auto"/>
                <w:lang w:val="en-US" w:eastAsia="zh-CN"/>
              </w:rPr>
            </w:pPr>
            <w:r>
              <w:rPr>
                <w:rFonts w:hint="eastAsia"/>
                <w:color w:val="auto"/>
                <w:lang w:val="en-US" w:eastAsia="zh-CN"/>
              </w:rPr>
              <w:t>6.1.4</w:t>
            </w:r>
          </w:p>
        </w:tc>
        <w:tc>
          <w:tcPr>
            <w:tcW w:w="10004" w:type="dxa"/>
          </w:tcPr>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提供了环境因素和危险源识别评价与控制程序，</w:t>
            </w:r>
            <w:r>
              <w:rPr>
                <w:rFonts w:hint="eastAsia" w:ascii="宋体" w:hAnsi="宋体" w:cs="Arial"/>
                <w:color w:val="auto"/>
                <w:spacing w:val="-6"/>
                <w:sz w:val="21"/>
                <w:szCs w:val="21"/>
                <w:lang w:val="en-US" w:eastAsia="zh-CN"/>
              </w:rPr>
              <w:t>无变化</w:t>
            </w:r>
            <w:r>
              <w:rPr>
                <w:rFonts w:hint="eastAsia" w:ascii="宋体" w:hAnsi="宋体" w:eastAsia="宋体" w:cs="Arial"/>
                <w:color w:val="auto"/>
                <w:spacing w:val="-6"/>
                <w:sz w:val="21"/>
                <w:szCs w:val="21"/>
                <w:lang w:val="en-US" w:eastAsia="zh-CN"/>
              </w:rPr>
              <w:t>。</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查“环境因素辨识和评价表”，涉及行政部的环境因素有生活垃圾的处置不当污染环境、办公场所吸烟污染环境、复印机打印机废墨盒处置污染环境、火灾发生后废弃物污染大气、水土等。</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采取打分法评价，查到“重要环境因素清单”，评价出噪声排放</w:t>
            </w:r>
            <w:r>
              <w:rPr>
                <w:rFonts w:hint="eastAsia" w:ascii="宋体" w:hAnsi="宋体" w:cs="Arial"/>
                <w:color w:val="auto"/>
                <w:spacing w:val="-6"/>
                <w:sz w:val="21"/>
                <w:szCs w:val="21"/>
                <w:lang w:val="en-US" w:eastAsia="zh-CN"/>
              </w:rPr>
              <w:t>、</w:t>
            </w:r>
            <w:r>
              <w:rPr>
                <w:rFonts w:hint="eastAsia" w:ascii="宋体" w:hAnsi="宋体" w:eastAsia="宋体" w:cs="Arial"/>
                <w:color w:val="auto"/>
                <w:spacing w:val="-6"/>
                <w:sz w:val="21"/>
                <w:szCs w:val="21"/>
                <w:lang w:val="en-US" w:eastAsia="zh-CN"/>
              </w:rPr>
              <w:t>烟尘排放、潜在火灾</w:t>
            </w:r>
            <w:r>
              <w:rPr>
                <w:rFonts w:hint="eastAsia" w:ascii="宋体" w:hAnsi="宋体" w:cs="Arial"/>
                <w:color w:val="auto"/>
                <w:spacing w:val="-6"/>
                <w:sz w:val="21"/>
                <w:szCs w:val="21"/>
                <w:lang w:val="en-US" w:eastAsia="zh-CN"/>
              </w:rPr>
              <w:t>、</w:t>
            </w:r>
            <w:r>
              <w:rPr>
                <w:rFonts w:hint="eastAsia" w:ascii="宋体" w:hAnsi="宋体" w:eastAsia="宋体" w:cs="Arial"/>
                <w:color w:val="auto"/>
                <w:spacing w:val="-6"/>
                <w:sz w:val="21"/>
                <w:szCs w:val="21"/>
                <w:lang w:val="en-US" w:eastAsia="zh-CN"/>
              </w:rPr>
              <w:t>固废排放</w:t>
            </w:r>
            <w:r>
              <w:rPr>
                <w:rFonts w:hint="eastAsia" w:ascii="宋体" w:hAnsi="宋体" w:cs="Arial"/>
                <w:color w:val="auto"/>
                <w:spacing w:val="-6"/>
                <w:sz w:val="21"/>
                <w:szCs w:val="21"/>
                <w:lang w:val="en-US" w:eastAsia="zh-CN"/>
              </w:rPr>
              <w:t>、</w:t>
            </w:r>
            <w:r>
              <w:rPr>
                <w:rFonts w:hint="eastAsia" w:ascii="宋体" w:hAnsi="宋体" w:eastAsia="宋体" w:cs="Arial"/>
                <w:color w:val="auto"/>
                <w:spacing w:val="-6"/>
                <w:sz w:val="21"/>
                <w:szCs w:val="21"/>
                <w:lang w:val="en-US" w:eastAsia="zh-CN"/>
              </w:rPr>
              <w:t>粉尘排放</w:t>
            </w:r>
            <w:r>
              <w:rPr>
                <w:rFonts w:hint="eastAsia" w:ascii="宋体" w:hAnsi="宋体" w:cs="Arial"/>
                <w:color w:val="auto"/>
                <w:spacing w:val="-6"/>
                <w:sz w:val="21"/>
                <w:szCs w:val="21"/>
                <w:lang w:val="en-US" w:eastAsia="zh-CN"/>
              </w:rPr>
              <w:t>、</w:t>
            </w:r>
            <w:r>
              <w:rPr>
                <w:rFonts w:hint="eastAsia" w:ascii="宋体" w:hAnsi="宋体" w:eastAsia="宋体" w:cs="Arial"/>
                <w:color w:val="auto"/>
                <w:spacing w:val="-6"/>
                <w:sz w:val="21"/>
                <w:szCs w:val="21"/>
                <w:lang w:val="en-US" w:eastAsia="zh-CN"/>
              </w:rPr>
              <w:t>废气为重要环境因素。</w:t>
            </w:r>
          </w:p>
          <w:p>
            <w:pPr>
              <w:adjustRightInd w:val="0"/>
              <w:snapToGrid w:val="0"/>
              <w:spacing w:line="360" w:lineRule="auto"/>
              <w:ind w:right="105" w:rightChars="50" w:firstLine="396" w:firstLineChars="200"/>
              <w:textAlignment w:val="baseline"/>
              <w:rPr>
                <w:rFonts w:hint="eastAsia"/>
                <w:color w:val="auto"/>
                <w:lang w:val="en-US" w:eastAsia="zh-CN"/>
              </w:rPr>
            </w:pPr>
            <w:r>
              <w:rPr>
                <w:rFonts w:hint="eastAsia" w:ascii="宋体" w:hAnsi="宋体" w:eastAsia="宋体" w:cs="Arial"/>
                <w:color w:val="auto"/>
                <w:spacing w:val="-6"/>
                <w:sz w:val="21"/>
                <w:szCs w:val="21"/>
                <w:lang w:val="en-US" w:eastAsia="zh-CN"/>
              </w:rPr>
              <w:t>经评价行政部</w:t>
            </w:r>
            <w:r>
              <w:rPr>
                <w:rFonts w:hint="eastAsia" w:ascii="宋体" w:hAnsi="宋体" w:cs="Arial"/>
                <w:color w:val="auto"/>
                <w:spacing w:val="-6"/>
                <w:sz w:val="21"/>
                <w:szCs w:val="21"/>
                <w:lang w:val="en-US" w:eastAsia="zh-CN"/>
              </w:rPr>
              <w:t>无</w:t>
            </w:r>
            <w:r>
              <w:rPr>
                <w:rFonts w:hint="eastAsia" w:ascii="宋体" w:hAnsi="宋体" w:eastAsia="宋体" w:cs="Arial"/>
                <w:color w:val="auto"/>
                <w:spacing w:val="-6"/>
                <w:sz w:val="21"/>
                <w:szCs w:val="21"/>
                <w:lang w:val="en-US" w:eastAsia="zh-CN"/>
              </w:rPr>
              <w:t>重要环境因素。</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查“职业安全健康管理体系危险源辨识、风险评价、风险控制一览表”，识别了办公</w:t>
            </w:r>
            <w:r>
              <w:rPr>
                <w:rFonts w:hint="eastAsia" w:ascii="宋体" w:hAnsi="宋体" w:cs="Arial"/>
                <w:color w:val="auto"/>
                <w:spacing w:val="-6"/>
                <w:sz w:val="21"/>
                <w:szCs w:val="21"/>
                <w:lang w:val="en-US" w:eastAsia="zh-CN"/>
              </w:rPr>
              <w:t>活动过程中</w:t>
            </w:r>
            <w:r>
              <w:rPr>
                <w:rFonts w:hint="eastAsia" w:ascii="宋体" w:hAnsi="宋体" w:eastAsia="宋体" w:cs="Arial"/>
                <w:color w:val="auto"/>
                <w:spacing w:val="-6"/>
                <w:sz w:val="21"/>
                <w:szCs w:val="21"/>
                <w:lang w:val="en-US" w:eastAsia="zh-CN"/>
              </w:rPr>
              <w:t>的危险源</w:t>
            </w:r>
            <w:r>
              <w:rPr>
                <w:rFonts w:hint="eastAsia" w:ascii="宋体" w:hAnsi="宋体" w:cs="Arial"/>
                <w:color w:val="auto"/>
                <w:spacing w:val="-6"/>
                <w:sz w:val="21"/>
                <w:szCs w:val="21"/>
                <w:lang w:val="en-US" w:eastAsia="zh-CN"/>
              </w:rPr>
              <w:t>，主要包括火灾、中毒和传染病、其他伤害、中暑、爆炸、触电、辐射等</w:t>
            </w:r>
            <w:r>
              <w:rPr>
                <w:rFonts w:hint="eastAsia" w:ascii="宋体" w:hAnsi="宋体" w:eastAsia="宋体" w:cs="Arial"/>
                <w:color w:val="auto"/>
                <w:spacing w:val="-6"/>
                <w:sz w:val="21"/>
                <w:szCs w:val="21"/>
                <w:lang w:val="en-US" w:eastAsia="zh-CN"/>
              </w:rPr>
              <w:t>。</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对识别出的危险源采取D=LEC进行评价，查到“不可接受风险清单”，评价出重大危险源包括：火灾、触电、机械伤害、人身伤害等。</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经评价行政部</w:t>
            </w:r>
            <w:r>
              <w:rPr>
                <w:rFonts w:hint="eastAsia" w:ascii="宋体" w:hAnsi="宋体" w:cs="Arial"/>
                <w:color w:val="auto"/>
                <w:spacing w:val="-6"/>
                <w:sz w:val="21"/>
                <w:szCs w:val="21"/>
                <w:lang w:val="en-US" w:eastAsia="zh-CN"/>
              </w:rPr>
              <w:t>无</w:t>
            </w:r>
            <w:r>
              <w:rPr>
                <w:rFonts w:hint="eastAsia" w:ascii="宋体" w:hAnsi="宋体" w:eastAsia="宋体" w:cs="Arial"/>
                <w:color w:val="auto"/>
                <w:spacing w:val="-6"/>
                <w:sz w:val="21"/>
                <w:szCs w:val="21"/>
                <w:lang w:val="en-US" w:eastAsia="zh-CN"/>
              </w:rPr>
              <w:t>重大危险源。</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cs="Arial"/>
                <w:color w:val="auto"/>
                <w:spacing w:val="-6"/>
                <w:sz w:val="21"/>
                <w:szCs w:val="21"/>
                <w:lang w:val="en-US" w:eastAsia="zh-CN"/>
              </w:rPr>
              <w:t>策划了控制措施，制订了环境、职业健康安全管理方案。</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经组织评价，组织策划的措施基本能够满足风险和机遇应对需要，能够与识别的风险和机遇对产品符合性的潜在影响相适应，基本满足标准要求。</w:t>
            </w:r>
          </w:p>
        </w:tc>
        <w:tc>
          <w:tcPr>
            <w:tcW w:w="1585" w:type="dxa"/>
          </w:tcPr>
          <w:p>
            <w:pP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1343" w:hRule="atLeast"/>
        </w:trPr>
        <w:tc>
          <w:tcPr>
            <w:tcW w:w="2010" w:type="dxa"/>
          </w:tcPr>
          <w:p>
            <w:pPr>
              <w:rPr>
                <w:rFonts w:hint="default"/>
                <w:color w:val="auto"/>
                <w:lang w:val="en-US" w:eastAsia="zh-CN"/>
              </w:rPr>
            </w:pPr>
            <w:r>
              <w:rPr>
                <w:rFonts w:hint="eastAsia"/>
                <w:color w:val="auto"/>
                <w:lang w:val="en-US" w:eastAsia="zh-CN"/>
              </w:rPr>
              <w:t>人员/资源</w:t>
            </w:r>
          </w:p>
          <w:p>
            <w:pPr>
              <w:rPr>
                <w:rFonts w:hint="eastAsia"/>
                <w:color w:val="auto"/>
                <w:lang w:val="en-US" w:eastAsia="zh-CN"/>
              </w:rPr>
            </w:pPr>
            <w:r>
              <w:rPr>
                <w:rFonts w:hint="eastAsia"/>
                <w:color w:val="auto"/>
                <w:lang w:val="en-US" w:eastAsia="zh-CN"/>
              </w:rPr>
              <w:t>能力</w:t>
            </w:r>
          </w:p>
          <w:p>
            <w:pPr>
              <w:rPr>
                <w:rFonts w:hint="default"/>
                <w:color w:val="auto"/>
                <w:lang w:val="en-US" w:eastAsia="zh-CN"/>
              </w:rPr>
            </w:pPr>
            <w:r>
              <w:rPr>
                <w:rFonts w:hint="eastAsia"/>
                <w:color w:val="auto"/>
                <w:lang w:val="en-US" w:eastAsia="zh-CN"/>
              </w:rPr>
              <w:t>意识</w:t>
            </w:r>
          </w:p>
        </w:tc>
        <w:tc>
          <w:tcPr>
            <w:tcW w:w="1110" w:type="dxa"/>
          </w:tcPr>
          <w:p>
            <w:pPr>
              <w:jc w:val="center"/>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Q：7.1.2</w:t>
            </w:r>
          </w:p>
          <w:p>
            <w:pPr>
              <w:jc w:val="center"/>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7.2</w:t>
            </w:r>
          </w:p>
          <w:p>
            <w:pPr>
              <w:jc w:val="center"/>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7.3</w:t>
            </w:r>
          </w:p>
          <w:p>
            <w:pPr>
              <w:jc w:val="center"/>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EO:7.1</w:t>
            </w:r>
          </w:p>
          <w:p>
            <w:pPr>
              <w:jc w:val="center"/>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7.2</w:t>
            </w:r>
          </w:p>
          <w:p>
            <w:pPr>
              <w:jc w:val="center"/>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7.3</w:t>
            </w:r>
          </w:p>
        </w:tc>
        <w:tc>
          <w:tcPr>
            <w:tcW w:w="10004" w:type="dxa"/>
          </w:tcPr>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建立有《人力资源控制程序》，</w:t>
            </w:r>
            <w:r>
              <w:rPr>
                <w:rFonts w:hint="eastAsia" w:ascii="宋体" w:hAnsi="宋体" w:cs="Arial"/>
                <w:color w:val="auto"/>
                <w:spacing w:val="-6"/>
                <w:sz w:val="21"/>
                <w:szCs w:val="21"/>
                <w:lang w:val="en-US" w:eastAsia="zh-CN"/>
              </w:rPr>
              <w:t>无变化</w:t>
            </w:r>
            <w:r>
              <w:rPr>
                <w:rFonts w:hint="eastAsia" w:ascii="宋体" w:hAnsi="宋体" w:eastAsia="宋体" w:cs="Arial"/>
                <w:color w:val="auto"/>
                <w:spacing w:val="-6"/>
                <w:sz w:val="21"/>
                <w:szCs w:val="21"/>
                <w:lang w:val="en-US" w:eastAsia="zh-CN"/>
              </w:rPr>
              <w:t>；</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公司现有人员45人，管理人员、技术人员和操作员工等能够有效实施管理体系，并运行和控制其过程。</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查见“2020年度培训计划”，计划自2020.7-12，开展管理手册、程序文件、管理目标及方案、管理体系内审员培训等6项次；</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查培训记录，抽见：</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2020.7.2——ISO9001：2015标准知识、概念培训；</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2020.12.5——管理体系内审员培训；</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附培训照片和</w:t>
            </w:r>
            <w:r>
              <w:rPr>
                <w:rFonts w:hint="eastAsia" w:ascii="宋体" w:hAnsi="宋体" w:cs="Arial"/>
                <w:color w:val="auto"/>
                <w:spacing w:val="-6"/>
                <w:sz w:val="21"/>
                <w:szCs w:val="21"/>
                <w:lang w:val="en-US" w:eastAsia="zh-CN"/>
              </w:rPr>
              <w:t>培训试卷</w:t>
            </w:r>
            <w:r>
              <w:rPr>
                <w:rFonts w:hint="eastAsia" w:ascii="宋体" w:hAnsi="宋体" w:eastAsia="宋体" w:cs="Arial"/>
                <w:color w:val="auto"/>
                <w:spacing w:val="-6"/>
                <w:sz w:val="21"/>
                <w:szCs w:val="21"/>
                <w:lang w:val="en-US" w:eastAsia="zh-CN"/>
              </w:rPr>
              <w:t>；</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查见：</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邓晟</w:t>
            </w:r>
            <w:r>
              <w:rPr>
                <w:rFonts w:hint="eastAsia" w:ascii="宋体" w:hAnsi="宋体" w:eastAsia="宋体" w:cs="Arial"/>
                <w:color w:val="auto"/>
                <w:spacing w:val="-6"/>
                <w:sz w:val="21"/>
                <w:szCs w:val="21"/>
                <w:highlight w:val="none"/>
                <w:lang w:val="en-US" w:eastAsia="zh-CN"/>
              </w:rPr>
              <w:t>——企业主要负责人安全培训合格证书；有效；</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查特种作业证书，抽见：张XX-焊接与热切割作业-2022.1.21，有效；</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意识：</w:t>
            </w:r>
            <w:bookmarkStart w:id="0" w:name="_GoBack"/>
            <w:bookmarkEnd w:id="0"/>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经与部门负责人沟通交流，</w:t>
            </w:r>
            <w:r>
              <w:rPr>
                <w:rFonts w:hint="eastAsia" w:ascii="宋体" w:hAnsi="宋体" w:eastAsia="宋体" w:cs="Arial"/>
                <w:color w:val="auto"/>
                <w:spacing w:val="-6"/>
                <w:sz w:val="21"/>
                <w:szCs w:val="21"/>
                <w:lang w:val="en-US" w:eastAsia="zh-CN"/>
              </w:rPr>
              <w:t>主要</w:t>
            </w:r>
            <w:r>
              <w:rPr>
                <w:rFonts w:hint="default" w:ascii="宋体" w:hAnsi="宋体" w:eastAsia="宋体" w:cs="Arial"/>
                <w:color w:val="auto"/>
                <w:spacing w:val="-6"/>
                <w:sz w:val="21"/>
                <w:szCs w:val="21"/>
                <w:lang w:val="en-US" w:eastAsia="zh-CN"/>
              </w:rPr>
              <w:t>通过培训提高岗位作业水平和质量、环保、安全意识，</w:t>
            </w:r>
            <w:r>
              <w:rPr>
                <w:rFonts w:hint="eastAsia" w:ascii="宋体" w:hAnsi="宋体" w:eastAsia="宋体" w:cs="Arial"/>
                <w:color w:val="auto"/>
                <w:spacing w:val="-6"/>
                <w:sz w:val="21"/>
                <w:szCs w:val="21"/>
                <w:lang w:val="en-US" w:eastAsia="zh-CN"/>
              </w:rPr>
              <w:t>询问</w:t>
            </w:r>
            <w:r>
              <w:rPr>
                <w:rFonts w:hint="default" w:ascii="宋体" w:hAnsi="宋体" w:eastAsia="宋体" w:cs="Arial"/>
                <w:color w:val="auto"/>
                <w:spacing w:val="-6"/>
                <w:sz w:val="21"/>
                <w:szCs w:val="21"/>
                <w:lang w:val="en-US" w:eastAsia="zh-CN"/>
              </w:rPr>
              <w:t>部分员工，他们对公司的管理方针</w:t>
            </w:r>
            <w:r>
              <w:rPr>
                <w:rFonts w:hint="eastAsia" w:ascii="宋体" w:hAnsi="宋体" w:eastAsia="宋体" w:cs="Arial"/>
                <w:color w:val="auto"/>
                <w:spacing w:val="-6"/>
                <w:sz w:val="21"/>
                <w:szCs w:val="21"/>
                <w:lang w:val="en-US" w:eastAsia="zh-CN"/>
              </w:rPr>
              <w:t>、</w:t>
            </w:r>
            <w:r>
              <w:rPr>
                <w:rFonts w:hint="default" w:ascii="宋体" w:hAnsi="宋体" w:eastAsia="宋体" w:cs="Arial"/>
                <w:color w:val="auto"/>
                <w:spacing w:val="-6"/>
                <w:sz w:val="21"/>
                <w:szCs w:val="21"/>
                <w:lang w:val="en-US" w:eastAsia="zh-CN"/>
              </w:rPr>
              <w:t>管理目标、对质量环境职业健康安全管理体系有效性的贡献，包括提高效率、技能、改进工艺和恪尽职守带来的无论是产品质量的提高亦或成本降低、节能减排、保护员工健康等的益处，以及因自己岗位职责疏忽带来不符合给公司产品及公司商誉、环境安全承诺带来的后果。</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员工能</w:t>
            </w:r>
            <w:r>
              <w:rPr>
                <w:rFonts w:hint="default" w:ascii="宋体" w:hAnsi="宋体" w:eastAsia="宋体" w:cs="Arial"/>
                <w:color w:val="auto"/>
                <w:spacing w:val="-6"/>
                <w:sz w:val="21"/>
                <w:szCs w:val="21"/>
                <w:lang w:val="en-US" w:eastAsia="zh-CN"/>
              </w:rPr>
              <w:t>明确自身职责及岗位要求，自身工作影响，如何提高产品质量、减少环境污染，员工人身安全意识等。</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基本能满足要求。</w:t>
            </w:r>
          </w:p>
        </w:tc>
        <w:tc>
          <w:tcPr>
            <w:tcW w:w="1585"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1238" w:hRule="atLeast"/>
        </w:trPr>
        <w:tc>
          <w:tcPr>
            <w:tcW w:w="2010" w:type="dxa"/>
          </w:tcPr>
          <w:p>
            <w:pPr>
              <w:rPr>
                <w:color w:val="auto"/>
              </w:rPr>
            </w:pPr>
            <w:r>
              <w:rPr>
                <w:rFonts w:hint="eastAsia"/>
                <w:color w:val="auto"/>
              </w:rPr>
              <w:t>组织知识</w:t>
            </w:r>
          </w:p>
        </w:tc>
        <w:tc>
          <w:tcPr>
            <w:tcW w:w="1110" w:type="dxa"/>
          </w:tcPr>
          <w:p>
            <w:pPr>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Q：7.1.6</w:t>
            </w:r>
          </w:p>
        </w:tc>
        <w:tc>
          <w:tcPr>
            <w:tcW w:w="10004" w:type="dxa"/>
          </w:tcPr>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公司各部门按照职责从内外部各种渠道获得与其职责相关所需的知识，包括操作规程、管理技巧与经验、失败和事故的案例分析、科研成果、商标及专利等知识产权等；把知识形成各种规章制度用于指导公司的日常工作和管理，包括体系文件、支持性文件、各种记录表单。</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从内部来源获取的有：多年的工作经验、教训、内部的知识产权等；</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外部来源获取有：标杆对比、行业会议、客户技术要求、咨询老师传授的体系知识及所实施的内审员的培训；顾客方提供的资料等。</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在应对变化的需求和趋势时，相关部门考虑现有的知识，确定如何获取更多的必要的额外知识，并根据变化的情况及时更新。</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eastAsia" w:ascii="宋体" w:hAnsi="宋体" w:eastAsia="宋体" w:cs="Arial"/>
                <w:color w:val="auto"/>
                <w:spacing w:val="-6"/>
                <w:sz w:val="21"/>
                <w:szCs w:val="21"/>
                <w:highlight w:val="none"/>
                <w:lang w:val="en-US" w:eastAsia="zh-CN"/>
              </w:rPr>
              <w:t>保持发明专利、外观专利、实用新型专利等各项专利36项。</w:t>
            </w:r>
          </w:p>
        </w:tc>
        <w:tc>
          <w:tcPr>
            <w:tcW w:w="1585"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939" w:hRule="atLeast"/>
        </w:trPr>
        <w:tc>
          <w:tcPr>
            <w:tcW w:w="2010" w:type="dxa"/>
          </w:tcPr>
          <w:p>
            <w:pPr>
              <w:rPr>
                <w:rFonts w:hint="eastAsia"/>
                <w:color w:val="auto"/>
              </w:rPr>
            </w:pPr>
            <w:r>
              <w:rPr>
                <w:rFonts w:hint="eastAsia" w:ascii="宋体" w:hAnsi="宋体" w:cs="Arial"/>
                <w:color w:val="auto"/>
                <w:spacing w:val="-6"/>
                <w:sz w:val="21"/>
                <w:szCs w:val="21"/>
                <w:u w:val="none"/>
              </w:rPr>
              <w:t>运行策划和控制</w:t>
            </w:r>
          </w:p>
        </w:tc>
        <w:tc>
          <w:tcPr>
            <w:tcW w:w="1110" w:type="dxa"/>
          </w:tcPr>
          <w:p>
            <w:pPr>
              <w:rPr>
                <w:rFonts w:hint="eastAsia" w:ascii="宋体" w:hAnsi="宋体" w:cs="Arial"/>
                <w:color w:val="auto"/>
                <w:spacing w:val="-6"/>
                <w:sz w:val="21"/>
                <w:szCs w:val="21"/>
                <w:lang w:val="en-US" w:eastAsia="zh-CN"/>
              </w:rPr>
            </w:pPr>
            <w:r>
              <w:rPr>
                <w:rFonts w:hint="eastAsia" w:ascii="宋体" w:hAnsi="宋体" w:cs="Arial"/>
                <w:color w:val="auto"/>
                <w:spacing w:val="-6"/>
                <w:sz w:val="21"/>
                <w:szCs w:val="21"/>
                <w:u w:val="none"/>
                <w:lang w:val="en-US" w:eastAsia="zh-CN"/>
              </w:rPr>
              <w:t>EO:</w:t>
            </w:r>
            <w:r>
              <w:rPr>
                <w:rFonts w:hint="eastAsia" w:ascii="宋体" w:hAnsi="宋体" w:cs="Arial"/>
                <w:color w:val="auto"/>
                <w:spacing w:val="-6"/>
                <w:sz w:val="21"/>
                <w:szCs w:val="21"/>
                <w:u w:val="none"/>
              </w:rPr>
              <w:t>8.1</w:t>
            </w:r>
          </w:p>
        </w:tc>
        <w:tc>
          <w:tcPr>
            <w:tcW w:w="10004" w:type="dxa"/>
          </w:tcPr>
          <w:p>
            <w:pPr>
              <w:spacing w:line="360" w:lineRule="auto"/>
              <w:ind w:firstLine="420" w:firstLineChars="200"/>
              <w:rPr>
                <w:rFonts w:hint="eastAsia"/>
                <w:color w:val="auto"/>
                <w:lang w:val="en-US" w:eastAsia="zh-CN"/>
              </w:rPr>
            </w:pPr>
            <w:r>
              <w:rPr>
                <w:rFonts w:hint="eastAsia"/>
                <w:color w:val="auto"/>
                <w:lang w:val="en-US" w:eastAsia="zh-CN"/>
              </w:rPr>
              <w:t>现场观察：配置的办公桌符合人机工程要求，干净整洁，照明、通风良好；配置有空调，温度适宜；有少量绿植；</w:t>
            </w:r>
          </w:p>
          <w:p>
            <w:pPr>
              <w:pStyle w:val="2"/>
              <w:rPr>
                <w:rFonts w:hint="default"/>
                <w:color w:val="auto"/>
                <w:lang w:val="en-US" w:eastAsia="zh-CN"/>
              </w:rPr>
            </w:pPr>
            <w:r>
              <w:rPr>
                <w:rFonts w:hint="eastAsia"/>
                <w:color w:val="auto"/>
                <w:lang w:val="en-US" w:eastAsia="zh-CN"/>
              </w:rPr>
              <w:t>查见配置有灭火器，状态良好；监控摄像头运行正常；</w:t>
            </w:r>
          </w:p>
          <w:p>
            <w:pPr>
              <w:pStyle w:val="2"/>
              <w:rPr>
                <w:rFonts w:hint="eastAsia"/>
                <w:color w:val="auto"/>
                <w:lang w:val="en-US" w:eastAsia="zh-CN"/>
              </w:rPr>
            </w:pPr>
            <w:r>
              <w:rPr>
                <w:rFonts w:hint="eastAsia"/>
                <w:color w:val="auto"/>
                <w:lang w:val="en-US" w:eastAsia="zh-CN"/>
              </w:rPr>
              <w:t>节约用水用电、纸张双面使用、禁止吸烟、无乱拉乱接电线、无超额电器使用；</w:t>
            </w:r>
          </w:p>
          <w:p>
            <w:pPr>
              <w:pStyle w:val="2"/>
              <w:rPr>
                <w:rFonts w:hint="eastAsia"/>
                <w:color w:val="auto"/>
                <w:lang w:val="en-US" w:eastAsia="zh-CN"/>
              </w:rPr>
            </w:pPr>
            <w:r>
              <w:rPr>
                <w:rFonts w:hint="eastAsia"/>
                <w:color w:val="auto"/>
                <w:lang w:val="en-US" w:eastAsia="zh-CN"/>
              </w:rPr>
              <w:t>生活废水经市政管网排放；无工业废水；</w:t>
            </w:r>
          </w:p>
          <w:p>
            <w:pPr>
              <w:pStyle w:val="2"/>
              <w:rPr>
                <w:rFonts w:hint="eastAsia"/>
                <w:color w:val="auto"/>
                <w:lang w:val="en-US" w:eastAsia="zh-CN"/>
              </w:rPr>
            </w:pPr>
            <w:r>
              <w:rPr>
                <w:rFonts w:hint="eastAsia"/>
                <w:color w:val="auto"/>
                <w:lang w:val="en-US" w:eastAsia="zh-CN"/>
              </w:rPr>
              <w:t>办公环境安静，无明显噪声和废气；</w:t>
            </w:r>
          </w:p>
          <w:p>
            <w:pPr>
              <w:pStyle w:val="2"/>
              <w:rPr>
                <w:rFonts w:hint="eastAsia"/>
                <w:color w:val="auto"/>
                <w:lang w:val="en-US" w:eastAsia="zh-CN"/>
              </w:rPr>
            </w:pPr>
            <w:r>
              <w:rPr>
                <w:rFonts w:hint="eastAsia"/>
                <w:color w:val="auto"/>
                <w:lang w:val="en-US" w:eastAsia="zh-CN"/>
              </w:rPr>
              <w:t>办公用固废集中回收，市政环卫部门收集处理；</w:t>
            </w:r>
          </w:p>
          <w:p>
            <w:pPr>
              <w:adjustRightInd w:val="0"/>
              <w:snapToGrid w:val="0"/>
              <w:spacing w:line="360" w:lineRule="auto"/>
              <w:ind w:right="105" w:rightChars="50" w:firstLine="420" w:firstLineChars="200"/>
              <w:textAlignment w:val="baseline"/>
              <w:rPr>
                <w:rFonts w:hint="eastAsia"/>
                <w:color w:val="auto"/>
                <w:lang w:val="en-US" w:eastAsia="zh-CN"/>
              </w:rPr>
            </w:pPr>
            <w:r>
              <w:rPr>
                <w:rFonts w:hint="eastAsia"/>
                <w:color w:val="auto"/>
                <w:lang w:val="en-US" w:eastAsia="zh-CN"/>
              </w:rPr>
              <w:t>办公用墨盒硒鼓等危废以旧换新。</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查见安全生产承诺书、新员工三级安全教育、在岗员工职业健康安全教育等资料，符合；</w:t>
            </w:r>
          </w:p>
          <w:p>
            <w:pPr>
              <w:pStyle w:val="2"/>
              <w:rPr>
                <w:rFonts w:hint="default"/>
                <w:color w:val="auto"/>
                <w:lang w:val="en-US" w:eastAsia="zh-CN"/>
              </w:rPr>
            </w:pPr>
            <w:r>
              <w:rPr>
                <w:rFonts w:hint="eastAsia"/>
                <w:color w:val="auto"/>
                <w:lang w:val="en-US" w:eastAsia="zh-CN"/>
              </w:rPr>
              <w:t>查见劳保用品发放记录，显示发放了手套、护目镜、耳塞、口罩等；介绍说，领用记录在各单位保留，见生产单位审核记录。</w:t>
            </w:r>
          </w:p>
        </w:tc>
        <w:tc>
          <w:tcPr>
            <w:tcW w:w="1585" w:type="dxa"/>
          </w:tcPr>
          <w:p>
            <w:pP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273" w:hRule="atLeast"/>
        </w:trPr>
        <w:tc>
          <w:tcPr>
            <w:tcW w:w="2010" w:type="dxa"/>
          </w:tcPr>
          <w:p>
            <w:pPr>
              <w:rPr>
                <w:rFonts w:hint="eastAsia" w:eastAsia="宋体"/>
                <w:color w:val="auto"/>
                <w:lang w:val="en-US" w:eastAsia="zh-CN"/>
              </w:rPr>
            </w:pPr>
            <w:r>
              <w:rPr>
                <w:rFonts w:hint="eastAsia"/>
                <w:color w:val="auto"/>
                <w:lang w:val="en-US" w:eastAsia="zh-CN"/>
              </w:rPr>
              <w:t>成文信息</w:t>
            </w:r>
          </w:p>
        </w:tc>
        <w:tc>
          <w:tcPr>
            <w:tcW w:w="1110" w:type="dxa"/>
          </w:tcPr>
          <w:p>
            <w:pPr>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QEO:7.5</w:t>
            </w:r>
          </w:p>
        </w:tc>
        <w:tc>
          <w:tcPr>
            <w:tcW w:w="10004" w:type="dxa"/>
          </w:tcPr>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策划了公司的管理体系文件，包括：</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《管理手册》A/0版，管理体系于2019年10月10日建立并正式实施。</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另程序文件26个，版本号：A/0，2019年10月10日实施；</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作业指导书、操作规程：下料(剪板)作业指导书、冲压作业指导书、折弯作业指导书、、点焊机作业指导书、二保焊作业指导书、喷涂作业指导书、剪板机操作规程、冲床操作规程、折弯机操作规程等；</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建立有外来文件清单，收集法律法规和技术标准、规范等7个；</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建立环境、职业健康安全法律法规和其他要求清单，共105个。</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cs="Arial"/>
                <w:color w:val="auto"/>
                <w:spacing w:val="-6"/>
                <w:sz w:val="21"/>
                <w:szCs w:val="21"/>
                <w:lang w:val="en-US" w:eastAsia="zh-CN"/>
              </w:rPr>
              <w:t>以上文件无变化。</w:t>
            </w:r>
            <w:r>
              <w:rPr>
                <w:rFonts w:hint="eastAsia" w:ascii="宋体" w:hAnsi="宋体" w:eastAsia="宋体" w:cs="Arial"/>
                <w:color w:val="auto"/>
                <w:spacing w:val="-6"/>
                <w:sz w:val="21"/>
                <w:szCs w:val="21"/>
                <w:lang w:val="en-US" w:eastAsia="zh-CN"/>
              </w:rPr>
              <w:t>文件化管理体系目前基本满足要求。</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——在编制体系文件时，对文件进行标识，主要有文件名称/编制部门/批准日期/文件编号等，经查管理手册/程序文件基本符合标准要求。</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管理体系文件经过总经理审批实施发布，经评审，目前文件和目录均适用。符合要求。</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——编制《文件化信息管理控制程序》，内容符合基本标准要求。</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抽查：受控文件清单、管理评审计划、培训计划、环境因素因素评价记录表、职业健康安全危险源识别与评价表等，其成文信息标识清晰，填写基本齐全、清晰，成文信息在文件柜中分类编目保存，成文信息的贮存和保护符合要求，检索方便。</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成文信息由各部门负责保存，以便查阅。</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经查，基本符合标准要求。</w:t>
            </w:r>
          </w:p>
        </w:tc>
        <w:tc>
          <w:tcPr>
            <w:tcW w:w="1585"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263" w:hRule="atLeast"/>
        </w:trPr>
        <w:tc>
          <w:tcPr>
            <w:tcW w:w="2010" w:type="dxa"/>
          </w:tcPr>
          <w:p>
            <w:pPr>
              <w:rPr>
                <w:color w:val="auto"/>
              </w:rPr>
            </w:pPr>
            <w:r>
              <w:rPr>
                <w:rFonts w:hint="eastAsia"/>
                <w:color w:val="auto"/>
              </w:rPr>
              <w:t>监视、测量、分析和评价总则</w:t>
            </w:r>
          </w:p>
        </w:tc>
        <w:tc>
          <w:tcPr>
            <w:tcW w:w="1110" w:type="dxa"/>
          </w:tcPr>
          <w:p>
            <w:pPr>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QEO:9.1.1</w:t>
            </w:r>
          </w:p>
          <w:p>
            <w:pPr>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Q:9.1.3</w:t>
            </w:r>
          </w:p>
        </w:tc>
        <w:tc>
          <w:tcPr>
            <w:tcW w:w="10004" w:type="dxa"/>
          </w:tcPr>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保持有“监视和测量控制程序”，有效文件；</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查“环境安全检查记录”，每月检查，抽见：</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202</w:t>
            </w:r>
            <w:r>
              <w:rPr>
                <w:rFonts w:hint="eastAsia" w:ascii="宋体" w:hAnsi="宋体" w:eastAsia="宋体" w:cs="Arial"/>
                <w:color w:val="auto"/>
                <w:spacing w:val="-6"/>
                <w:sz w:val="21"/>
                <w:szCs w:val="21"/>
                <w:highlight w:val="none"/>
                <w:lang w:val="en-US" w:eastAsia="zh-CN"/>
              </w:rPr>
              <w:t>1</w:t>
            </w:r>
            <w:r>
              <w:rPr>
                <w:rFonts w:hint="default" w:ascii="宋体" w:hAnsi="宋体" w:eastAsia="宋体" w:cs="Arial"/>
                <w:color w:val="auto"/>
                <w:spacing w:val="-6"/>
                <w:sz w:val="21"/>
                <w:szCs w:val="21"/>
                <w:highlight w:val="none"/>
                <w:lang w:val="en-US" w:eastAsia="zh-CN"/>
              </w:rPr>
              <w:t>年1</w:t>
            </w:r>
            <w:r>
              <w:rPr>
                <w:rFonts w:hint="eastAsia" w:ascii="宋体" w:hAnsi="宋体" w:eastAsia="宋体" w:cs="Arial"/>
                <w:color w:val="auto"/>
                <w:spacing w:val="-6"/>
                <w:sz w:val="21"/>
                <w:szCs w:val="21"/>
                <w:highlight w:val="none"/>
                <w:lang w:val="en-US" w:eastAsia="zh-CN"/>
              </w:rPr>
              <w:t>-3</w:t>
            </w:r>
            <w:r>
              <w:rPr>
                <w:rFonts w:hint="default" w:ascii="宋体" w:hAnsi="宋体" w:eastAsia="宋体" w:cs="Arial"/>
                <w:color w:val="auto"/>
                <w:spacing w:val="-6"/>
                <w:sz w:val="21"/>
                <w:szCs w:val="21"/>
                <w:highlight w:val="none"/>
                <w:lang w:val="en-US" w:eastAsia="zh-CN"/>
              </w:rPr>
              <w:t>月</w:t>
            </w:r>
            <w:r>
              <w:rPr>
                <w:rFonts w:hint="eastAsia" w:ascii="宋体" w:hAnsi="宋体" w:eastAsia="宋体" w:cs="Arial"/>
                <w:color w:val="auto"/>
                <w:spacing w:val="-6"/>
                <w:sz w:val="21"/>
                <w:szCs w:val="21"/>
                <w:highlight w:val="none"/>
                <w:lang w:val="en-US" w:eastAsia="zh-CN"/>
              </w:rPr>
              <w:t>，对危废处理、劳防用品管理、持证上岗等等项目进行了检查，检查人黄XX等，检查结果未发现问题。介绍说，如果检查发现问题将执行《不符合、纠正与预防措施程序》，制定纠正措施进行整改。</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查见职业健康检查报告，美年达健康慈航体检中心出具，2020.12.30；职业禁忌症1人，介绍说已调岗，未保留调岗证据，交流；</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查见“年度会议材料”，对年度工作进行了总结，明确了公司优势，提出了公司发展中存在的问题，并对下年度的工作做出了安排。</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eastAsia" w:ascii="宋体" w:hAnsi="宋体" w:eastAsia="宋体" w:cs="Arial"/>
                <w:color w:val="auto"/>
                <w:spacing w:val="-6"/>
                <w:sz w:val="21"/>
                <w:szCs w:val="21"/>
                <w:highlight w:val="none"/>
                <w:lang w:val="en-US" w:eastAsia="zh-CN"/>
              </w:rPr>
              <w:t>基本符合。</w:t>
            </w:r>
          </w:p>
        </w:tc>
        <w:tc>
          <w:tcPr>
            <w:tcW w:w="1585"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313" w:hRule="atLeast"/>
        </w:trPr>
        <w:tc>
          <w:tcPr>
            <w:tcW w:w="2010" w:type="dxa"/>
          </w:tcPr>
          <w:p>
            <w:pPr>
              <w:rPr>
                <w:color w:val="auto"/>
              </w:rPr>
            </w:pPr>
            <w:r>
              <w:rPr>
                <w:rFonts w:hint="eastAsia"/>
                <w:color w:val="auto"/>
              </w:rPr>
              <w:t>内部审核</w:t>
            </w:r>
          </w:p>
        </w:tc>
        <w:tc>
          <w:tcPr>
            <w:tcW w:w="1110" w:type="dxa"/>
          </w:tcPr>
          <w:p>
            <w:pPr>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QEO:9.2</w:t>
            </w:r>
          </w:p>
        </w:tc>
        <w:tc>
          <w:tcPr>
            <w:tcW w:w="10004" w:type="dxa"/>
          </w:tcPr>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制定有《内部审核程序》，有效文件；</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2021年1月5日至1月6日对贯标的各职能部门、车间进行内部审核，保留了内审计划、内审记录、不符合报告、内审报告；</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本次内审未开具不符合报告；</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内审覆盖了管理体系范围内的活动及标准的要求；</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内审结论为：管理体系运行基本有效，运行达到一定的效果，基本符合标准要求。</w:t>
            </w:r>
          </w:p>
        </w:tc>
        <w:tc>
          <w:tcPr>
            <w:tcW w:w="1585"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313" w:hRule="atLeast"/>
        </w:trPr>
        <w:tc>
          <w:tcPr>
            <w:tcW w:w="2010" w:type="dxa"/>
          </w:tcPr>
          <w:p>
            <w:pPr>
              <w:rPr>
                <w:rFonts w:hint="eastAsia"/>
                <w:color w:val="auto"/>
              </w:rPr>
            </w:pPr>
            <w:r>
              <w:rPr>
                <w:rFonts w:hint="eastAsia" w:ascii="宋体" w:hAnsi="宋体" w:cs="Arial"/>
                <w:color w:val="auto"/>
                <w:spacing w:val="-6"/>
                <w:sz w:val="21"/>
                <w:szCs w:val="21"/>
                <w:lang w:val="en-US" w:eastAsia="zh-CN"/>
              </w:rPr>
              <w:t>应急管理</w:t>
            </w:r>
          </w:p>
        </w:tc>
        <w:tc>
          <w:tcPr>
            <w:tcW w:w="1110" w:type="dxa"/>
          </w:tcPr>
          <w:p>
            <w:pPr>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EO:8.2</w:t>
            </w:r>
          </w:p>
        </w:tc>
        <w:tc>
          <w:tcPr>
            <w:tcW w:w="10004" w:type="dxa"/>
          </w:tcPr>
          <w:p>
            <w:pPr>
              <w:adjustRightInd w:val="0"/>
              <w:snapToGrid w:val="0"/>
              <w:spacing w:line="360" w:lineRule="auto"/>
              <w:ind w:right="105" w:rightChars="50" w:firstLine="396" w:firstLineChars="200"/>
              <w:textAlignment w:val="baseline"/>
              <w:rPr>
                <w:rFonts w:hint="default" w:ascii="宋体" w:hAnsi="宋体" w:cs="Arial" w:eastAsiaTheme="minorEastAsia"/>
                <w:color w:val="auto"/>
                <w:spacing w:val="-6"/>
                <w:sz w:val="21"/>
                <w:szCs w:val="21"/>
                <w:lang w:val="en-US" w:eastAsia="zh-CN"/>
              </w:rPr>
            </w:pPr>
            <w:r>
              <w:rPr>
                <w:rFonts w:hint="eastAsia" w:ascii="宋体" w:hAnsi="宋体" w:cs="Arial"/>
                <w:color w:val="auto"/>
                <w:spacing w:val="-6"/>
                <w:sz w:val="21"/>
                <w:szCs w:val="21"/>
                <w:lang w:val="en-US" w:eastAsia="zh-CN"/>
              </w:rPr>
              <w:t>参加由生产部组织的演练，详见生产部记录。</w:t>
            </w:r>
          </w:p>
        </w:tc>
        <w:tc>
          <w:tcPr>
            <w:tcW w:w="1585" w:type="dxa"/>
          </w:tcPr>
          <w:p>
            <w:pPr>
              <w:rPr>
                <w:rFonts w:hint="default"/>
                <w:color w:val="auto"/>
                <w:lang w:val="en-US" w:eastAsia="zh-CN"/>
              </w:rPr>
            </w:pPr>
            <w:r>
              <w:rPr>
                <w:rFonts w:hint="eastAsia"/>
                <w:color w:val="auto"/>
                <w:lang w:val="en-US" w:eastAsia="zh-CN"/>
              </w:rPr>
              <w:t>Y</w:t>
            </w:r>
          </w:p>
        </w:tc>
      </w:tr>
    </w:tbl>
    <w:p>
      <w:pPr>
        <w:pStyle w:val="4"/>
        <w:rPr>
          <w:rFonts w:hint="eastAsia"/>
        </w:rPr>
      </w:pPr>
    </w:p>
    <w:p>
      <w:pPr>
        <w:pStyle w:val="4"/>
        <w:rPr>
          <w:rFonts w:hint="eastAsia"/>
        </w:rPr>
      </w:pP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1848FB"/>
    <w:rsid w:val="17126FB4"/>
    <w:rsid w:val="1A840625"/>
    <w:rsid w:val="1B1926E0"/>
    <w:rsid w:val="26A426BA"/>
    <w:rsid w:val="3B302760"/>
    <w:rsid w:val="50BA2E0A"/>
    <w:rsid w:val="50FF3FD0"/>
    <w:rsid w:val="61AE2233"/>
    <w:rsid w:val="727477D1"/>
    <w:rsid w:val="797474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23</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2021-03-31T02:11:46Z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