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受审核方：江西欣盛泰实业有限公司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Fonts w:ascii="楷体" w:hAnsi="楷体" w:eastAsia="楷体"/>
          <w:b/>
          <w:color w:val="000000"/>
          <w:sz w:val="36"/>
          <w:szCs w:val="36"/>
        </w:rPr>
        <w:fldChar w:fldCharType="end"/>
      </w:r>
    </w:p>
    <w:p>
      <w:pPr>
        <w:pStyle w:val="2"/>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620"/>
        <w:gridCol w:w="121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6"/>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739" w:type="dxa"/>
            <w:gridSpan w:val="4"/>
          </w:tcPr>
          <w:p>
            <w:pPr>
              <w:rPr>
                <w:b/>
                <w:sz w:val="21"/>
                <w:szCs w:val="21"/>
              </w:rPr>
            </w:pPr>
            <w:r>
              <w:rPr>
                <w:rFonts w:hint="eastAsia"/>
                <w:b/>
                <w:sz w:val="21"/>
                <w:szCs w:val="21"/>
              </w:rPr>
              <w:t>北京市朝阳区北苑路168号1号楼16层1603</w:t>
            </w:r>
          </w:p>
        </w:tc>
        <w:tc>
          <w:tcPr>
            <w:tcW w:w="1212" w:type="dxa"/>
          </w:tcPr>
          <w:p>
            <w:pPr>
              <w:rPr>
                <w:b/>
                <w:sz w:val="21"/>
                <w:szCs w:val="21"/>
              </w:rPr>
            </w:pPr>
            <w:r>
              <w:rPr>
                <w:rFonts w:hint="eastAsia"/>
                <w:b/>
                <w:sz w:val="21"/>
                <w:szCs w:val="21"/>
              </w:rPr>
              <w:t>邮编</w:t>
            </w:r>
          </w:p>
        </w:tc>
        <w:tc>
          <w:tcPr>
            <w:tcW w:w="132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6"/>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8"/>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620" w:type="dxa"/>
            <w:vAlign w:val="center"/>
          </w:tcPr>
          <w:p>
            <w:pPr>
              <w:jc w:val="center"/>
              <w:rPr>
                <w:b/>
                <w:sz w:val="21"/>
                <w:szCs w:val="21"/>
              </w:rPr>
            </w:pPr>
            <w:r>
              <w:rPr>
                <w:rFonts w:hint="eastAsia"/>
                <w:b/>
                <w:sz w:val="21"/>
                <w:szCs w:val="21"/>
              </w:rPr>
              <w:t>审核员注册号</w:t>
            </w:r>
          </w:p>
        </w:tc>
        <w:tc>
          <w:tcPr>
            <w:tcW w:w="1212" w:type="dxa"/>
            <w:vAlign w:val="center"/>
          </w:tcPr>
          <w:p>
            <w:pPr>
              <w:jc w:val="center"/>
              <w:rPr>
                <w:b/>
                <w:sz w:val="21"/>
                <w:szCs w:val="21"/>
              </w:rPr>
            </w:pPr>
            <w:r>
              <w:rPr>
                <w:rFonts w:hint="eastAsia"/>
                <w:b/>
                <w:sz w:val="21"/>
                <w:szCs w:val="21"/>
              </w:rPr>
              <w:t>专业代码</w:t>
            </w:r>
          </w:p>
        </w:tc>
        <w:tc>
          <w:tcPr>
            <w:tcW w:w="132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褚敏杰</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620" w:type="dxa"/>
            <w:vAlign w:val="center"/>
          </w:tcPr>
          <w:p>
            <w:pPr>
              <w:jc w:val="center"/>
              <w:rPr>
                <w:b/>
                <w:sz w:val="21"/>
                <w:szCs w:val="21"/>
              </w:rPr>
            </w:pPr>
            <w:r>
              <w:rPr>
                <w:b/>
                <w:sz w:val="21"/>
                <w:szCs w:val="21"/>
              </w:rPr>
              <w:t>2018-N1QMS-2068076</w:t>
            </w:r>
          </w:p>
          <w:p>
            <w:pPr>
              <w:jc w:val="center"/>
              <w:rPr>
                <w:b/>
                <w:sz w:val="21"/>
                <w:szCs w:val="21"/>
              </w:rPr>
            </w:pPr>
            <w:r>
              <w:rPr>
                <w:b/>
                <w:sz w:val="21"/>
                <w:szCs w:val="21"/>
              </w:rPr>
              <w:t>2018-N1EMS-2068076</w:t>
            </w:r>
          </w:p>
          <w:p>
            <w:pPr>
              <w:jc w:val="center"/>
              <w:rPr>
                <w:b/>
                <w:sz w:val="21"/>
                <w:szCs w:val="21"/>
              </w:rPr>
            </w:pPr>
            <w:r>
              <w:rPr>
                <w:b/>
                <w:sz w:val="21"/>
                <w:szCs w:val="21"/>
              </w:rPr>
              <w:t>2019-N1OHSMS-2068076</w:t>
            </w:r>
          </w:p>
        </w:tc>
        <w:tc>
          <w:tcPr>
            <w:tcW w:w="1212" w:type="dxa"/>
            <w:vAlign w:val="center"/>
          </w:tcPr>
          <w:p>
            <w:pPr>
              <w:jc w:val="center"/>
              <w:rPr>
                <w:b/>
                <w:sz w:val="21"/>
                <w:szCs w:val="21"/>
              </w:rPr>
            </w:pPr>
          </w:p>
        </w:tc>
        <w:tc>
          <w:tcPr>
            <w:tcW w:w="1324" w:type="dxa"/>
            <w:vAlign w:val="center"/>
          </w:tcPr>
          <w:p>
            <w:pPr>
              <w:jc w:val="center"/>
              <w:rPr>
                <w:b/>
                <w:sz w:val="21"/>
                <w:szCs w:val="21"/>
              </w:rPr>
            </w:pPr>
            <w:r>
              <w:rPr>
                <w:b/>
                <w:sz w:val="21"/>
                <w:szCs w:val="21"/>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620"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2020-N1OHSMS-1257737</w:t>
            </w:r>
          </w:p>
        </w:tc>
        <w:tc>
          <w:tcPr>
            <w:tcW w:w="1212" w:type="dxa"/>
            <w:vAlign w:val="center"/>
          </w:tcPr>
          <w:p>
            <w:pPr>
              <w:jc w:val="center"/>
              <w:rPr>
                <w:b/>
                <w:sz w:val="21"/>
                <w:szCs w:val="21"/>
              </w:rPr>
            </w:pPr>
            <w:r>
              <w:rPr>
                <w:b/>
                <w:sz w:val="21"/>
                <w:szCs w:val="21"/>
              </w:rPr>
              <w:t>Q:17.12.05</w:t>
            </w:r>
          </w:p>
          <w:p>
            <w:pPr>
              <w:jc w:val="center"/>
              <w:rPr>
                <w:b/>
                <w:sz w:val="21"/>
                <w:szCs w:val="21"/>
              </w:rPr>
            </w:pPr>
            <w:r>
              <w:rPr>
                <w:b/>
                <w:sz w:val="21"/>
                <w:szCs w:val="21"/>
              </w:rPr>
              <w:t>E:17.12.05</w:t>
            </w:r>
          </w:p>
          <w:p>
            <w:pPr>
              <w:jc w:val="center"/>
              <w:rPr>
                <w:b/>
                <w:sz w:val="21"/>
                <w:szCs w:val="21"/>
              </w:rPr>
            </w:pPr>
            <w:r>
              <w:rPr>
                <w:b/>
                <w:sz w:val="21"/>
                <w:szCs w:val="21"/>
              </w:rPr>
              <w:t>O:17.12.05</w:t>
            </w:r>
          </w:p>
        </w:tc>
        <w:tc>
          <w:tcPr>
            <w:tcW w:w="1324" w:type="dxa"/>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620" w:type="dxa"/>
          </w:tcPr>
          <w:p>
            <w:pPr>
              <w:rPr>
                <w:b/>
                <w:sz w:val="21"/>
                <w:szCs w:val="21"/>
              </w:rPr>
            </w:pPr>
          </w:p>
        </w:tc>
        <w:tc>
          <w:tcPr>
            <w:tcW w:w="1212" w:type="dxa"/>
          </w:tcPr>
          <w:p>
            <w:pPr>
              <w:rPr>
                <w:b/>
                <w:sz w:val="21"/>
                <w:szCs w:val="21"/>
              </w:rPr>
            </w:pPr>
          </w:p>
        </w:tc>
        <w:tc>
          <w:tcPr>
            <w:tcW w:w="132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620" w:type="dxa"/>
          </w:tcPr>
          <w:p>
            <w:pPr>
              <w:rPr>
                <w:b/>
                <w:sz w:val="21"/>
                <w:szCs w:val="21"/>
              </w:rPr>
            </w:pPr>
          </w:p>
        </w:tc>
        <w:tc>
          <w:tcPr>
            <w:tcW w:w="1212" w:type="dxa"/>
          </w:tcPr>
          <w:p>
            <w:pPr>
              <w:rPr>
                <w:b/>
                <w:sz w:val="21"/>
                <w:szCs w:val="21"/>
              </w:rPr>
            </w:pPr>
          </w:p>
        </w:tc>
        <w:tc>
          <w:tcPr>
            <w:tcW w:w="132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620" w:type="dxa"/>
          </w:tcPr>
          <w:p>
            <w:pPr>
              <w:rPr>
                <w:b/>
                <w:sz w:val="21"/>
                <w:szCs w:val="21"/>
              </w:rPr>
            </w:pPr>
          </w:p>
        </w:tc>
        <w:tc>
          <w:tcPr>
            <w:tcW w:w="1212" w:type="dxa"/>
          </w:tcPr>
          <w:p>
            <w:pPr>
              <w:rPr>
                <w:b/>
                <w:sz w:val="21"/>
                <w:szCs w:val="21"/>
              </w:rPr>
            </w:pPr>
          </w:p>
        </w:tc>
        <w:tc>
          <w:tcPr>
            <w:tcW w:w="132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8"/>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4"/>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4"/>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4"/>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4"/>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pStyle w:val="2"/>
        <w:rPr>
          <w:rFonts w:hint="eastAsia"/>
          <w:b/>
          <w:sz w:val="21"/>
          <w:szCs w:val="21"/>
        </w:rPr>
      </w:pP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both"/>
              <w:rPr>
                <w:rFonts w:ascii="宋体"/>
                <w:b/>
                <w:color w:val="auto"/>
                <w:sz w:val="16"/>
                <w:szCs w:val="16"/>
              </w:rPr>
            </w:pPr>
            <w:r>
              <w:rPr>
                <w:rFonts w:hint="eastAsia" w:ascii="宋体" w:hAnsi="宋体"/>
                <w:b/>
                <w:color w:val="auto"/>
                <w:sz w:val="21"/>
              </w:rPr>
              <w:t>受审核方名称</w:t>
            </w:r>
          </w:p>
        </w:tc>
        <w:tc>
          <w:tcPr>
            <w:tcW w:w="4416" w:type="dxa"/>
            <w:gridSpan w:val="4"/>
            <w:vAlign w:val="center"/>
          </w:tcPr>
          <w:p>
            <w:pPr>
              <w:spacing w:line="260" w:lineRule="exact"/>
              <w:jc w:val="both"/>
              <w:rPr>
                <w:rFonts w:ascii="宋体"/>
                <w:b/>
                <w:color w:val="auto"/>
                <w:sz w:val="21"/>
              </w:rPr>
            </w:pPr>
            <w:bookmarkStart w:id="9" w:name="组织名称Add"/>
            <w:r>
              <w:rPr>
                <w:rFonts w:ascii="宋体"/>
                <w:b/>
                <w:color w:val="auto"/>
                <w:sz w:val="21"/>
              </w:rPr>
              <w:t>江西欣盛泰实业有限公司</w:t>
            </w:r>
            <w:bookmarkEnd w:id="9"/>
          </w:p>
        </w:tc>
        <w:tc>
          <w:tcPr>
            <w:tcW w:w="1672" w:type="dxa"/>
            <w:vAlign w:val="center"/>
          </w:tcPr>
          <w:p>
            <w:pPr>
              <w:spacing w:line="260" w:lineRule="exact"/>
              <w:jc w:val="both"/>
              <w:rPr>
                <w:rFonts w:ascii="宋体"/>
                <w:b/>
                <w:sz w:val="21"/>
              </w:rPr>
            </w:pPr>
            <w:r>
              <w:rPr>
                <w:rFonts w:hint="eastAsia" w:ascii="宋体" w:hAnsi="宋体"/>
                <w:b/>
                <w:sz w:val="21"/>
              </w:rPr>
              <w:t>组织人数及</w:t>
            </w:r>
          </w:p>
          <w:p>
            <w:pPr>
              <w:spacing w:line="200" w:lineRule="exact"/>
              <w:jc w:val="both"/>
              <w:rPr>
                <w:b/>
                <w:spacing w:val="-20"/>
              </w:rPr>
            </w:pPr>
            <w:r>
              <w:rPr>
                <w:rFonts w:hint="eastAsia" w:ascii="宋体" w:hAnsi="宋体"/>
                <w:b/>
                <w:sz w:val="21"/>
              </w:rPr>
              <w:t>变动情况核实</w:t>
            </w:r>
          </w:p>
        </w:tc>
        <w:tc>
          <w:tcPr>
            <w:tcW w:w="1500" w:type="dxa"/>
            <w:vAlign w:val="center"/>
          </w:tcPr>
          <w:p>
            <w:pPr>
              <w:spacing w:line="260" w:lineRule="exact"/>
              <w:jc w:val="both"/>
              <w:rPr>
                <w:rFonts w:hint="default" w:ascii="宋体" w:eastAsia="宋体"/>
                <w:b/>
                <w:sz w:val="21"/>
                <w:lang w:val="en-US" w:eastAsia="zh-CN"/>
              </w:rPr>
            </w:pPr>
            <w:r>
              <w:rPr>
                <w:rFonts w:hint="eastAsia" w:ascii="宋体"/>
                <w:b/>
                <w:sz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both"/>
              <w:rPr>
                <w:b/>
                <w:sz w:val="16"/>
                <w:szCs w:val="16"/>
              </w:rPr>
            </w:pPr>
            <w:r>
              <w:rPr>
                <w:rFonts w:hint="eastAsia" w:ascii="宋体" w:hAnsi="宋体"/>
                <w:b/>
                <w:sz w:val="21"/>
                <w:szCs w:val="21"/>
              </w:rPr>
              <w:t>注册地址</w:t>
            </w:r>
          </w:p>
        </w:tc>
        <w:tc>
          <w:tcPr>
            <w:tcW w:w="4416" w:type="dxa"/>
            <w:gridSpan w:val="4"/>
            <w:vAlign w:val="center"/>
          </w:tcPr>
          <w:p>
            <w:pPr>
              <w:jc w:val="both"/>
              <w:rPr>
                <w:rFonts w:ascii="宋体"/>
                <w:b/>
                <w:sz w:val="21"/>
              </w:rPr>
            </w:pPr>
            <w:bookmarkStart w:id="10" w:name="注册地址"/>
            <w:r>
              <w:rPr>
                <w:rFonts w:ascii="宋体"/>
                <w:b/>
                <w:sz w:val="21"/>
              </w:rPr>
              <w:t>江西省樟树市城北（张家山）工业园1号路</w:t>
            </w:r>
            <w:bookmarkEnd w:id="10"/>
          </w:p>
        </w:tc>
        <w:tc>
          <w:tcPr>
            <w:tcW w:w="1672" w:type="dxa"/>
            <w:vMerge w:val="restart"/>
            <w:vAlign w:val="center"/>
          </w:tcPr>
          <w:p>
            <w:pPr>
              <w:jc w:val="both"/>
              <w:rPr>
                <w:rFonts w:ascii="宋体"/>
                <w:b/>
                <w:sz w:val="21"/>
              </w:rPr>
            </w:pPr>
            <w:r>
              <w:rPr>
                <w:rFonts w:hint="eastAsia" w:ascii="宋体" w:hAnsi="宋体"/>
                <w:b/>
                <w:sz w:val="21"/>
              </w:rPr>
              <w:t>邮编</w:t>
            </w:r>
          </w:p>
        </w:tc>
        <w:tc>
          <w:tcPr>
            <w:tcW w:w="1500" w:type="dxa"/>
            <w:vAlign w:val="center"/>
          </w:tcPr>
          <w:p>
            <w:pPr>
              <w:jc w:val="both"/>
              <w:rPr>
                <w:rFonts w:ascii="宋体"/>
                <w:b/>
                <w:sz w:val="21"/>
              </w:rPr>
            </w:pPr>
            <w:bookmarkStart w:id="11" w:name="注册邮编"/>
            <w:r>
              <w:rPr>
                <w:rFonts w:ascii="宋体"/>
                <w:b/>
                <w:sz w:val="21"/>
              </w:rPr>
              <w:t>331200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both"/>
              <w:rPr>
                <w:rFonts w:ascii="宋体"/>
                <w:b/>
                <w:sz w:val="21"/>
                <w:szCs w:val="21"/>
              </w:rPr>
            </w:pPr>
            <w:r>
              <w:rPr>
                <w:rFonts w:hint="eastAsia" w:ascii="宋体" w:hAnsi="宋体"/>
                <w:b/>
                <w:sz w:val="21"/>
                <w:szCs w:val="21"/>
              </w:rPr>
              <w:t>经营地址</w:t>
            </w:r>
          </w:p>
        </w:tc>
        <w:tc>
          <w:tcPr>
            <w:tcW w:w="4416" w:type="dxa"/>
            <w:gridSpan w:val="4"/>
            <w:vAlign w:val="center"/>
          </w:tcPr>
          <w:p>
            <w:pPr>
              <w:jc w:val="both"/>
              <w:rPr>
                <w:rFonts w:ascii="宋体"/>
                <w:b/>
                <w:sz w:val="21"/>
              </w:rPr>
            </w:pPr>
            <w:bookmarkStart w:id="12" w:name="办公地址"/>
            <w:r>
              <w:rPr>
                <w:rFonts w:ascii="宋体"/>
                <w:b/>
                <w:sz w:val="21"/>
              </w:rPr>
              <w:t>江西省樟树市城北（张家山）工业园1号路</w:t>
            </w:r>
            <w:bookmarkEnd w:id="12"/>
          </w:p>
        </w:tc>
        <w:tc>
          <w:tcPr>
            <w:tcW w:w="1672" w:type="dxa"/>
            <w:vMerge w:val="continue"/>
            <w:vAlign w:val="center"/>
          </w:tcPr>
          <w:p>
            <w:pPr>
              <w:jc w:val="both"/>
              <w:rPr>
                <w:rFonts w:ascii="宋体"/>
                <w:b/>
                <w:sz w:val="21"/>
              </w:rPr>
            </w:pPr>
          </w:p>
        </w:tc>
        <w:tc>
          <w:tcPr>
            <w:tcW w:w="1500" w:type="dxa"/>
            <w:vAlign w:val="center"/>
          </w:tcPr>
          <w:p>
            <w:pPr>
              <w:jc w:val="both"/>
              <w:rPr>
                <w:rFonts w:ascii="宋体"/>
                <w:b/>
                <w:sz w:val="21"/>
              </w:rPr>
            </w:pPr>
            <w:bookmarkStart w:id="13" w:name="办公邮编"/>
            <w:r>
              <w:rPr>
                <w:rFonts w:ascii="宋体"/>
                <w:b/>
                <w:sz w:val="21"/>
              </w:rPr>
              <w:t>331200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both"/>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jc w:val="both"/>
              <w:rPr>
                <w:rFonts w:ascii="宋体"/>
                <w:b/>
                <w:sz w:val="21"/>
              </w:rPr>
            </w:pPr>
            <w:bookmarkStart w:id="14" w:name="生产地址Add"/>
            <w:r>
              <w:rPr>
                <w:rFonts w:ascii="宋体"/>
                <w:b/>
                <w:sz w:val="21"/>
              </w:rPr>
              <w:t>江西省樟树市城北（张家山）工业园1号路</w:t>
            </w:r>
            <w:bookmarkEnd w:id="14"/>
          </w:p>
        </w:tc>
        <w:tc>
          <w:tcPr>
            <w:tcW w:w="1672" w:type="dxa"/>
            <w:vMerge w:val="continue"/>
            <w:vAlign w:val="center"/>
          </w:tcPr>
          <w:p>
            <w:pPr>
              <w:jc w:val="both"/>
              <w:rPr>
                <w:rFonts w:ascii="宋体"/>
                <w:b/>
                <w:sz w:val="21"/>
              </w:rPr>
            </w:pPr>
          </w:p>
        </w:tc>
        <w:tc>
          <w:tcPr>
            <w:tcW w:w="1500" w:type="dxa"/>
            <w:vAlign w:val="center"/>
          </w:tcPr>
          <w:p>
            <w:pPr>
              <w:jc w:val="both"/>
              <w:rPr>
                <w:rFonts w:ascii="宋体"/>
                <w:b/>
                <w:sz w:val="21"/>
              </w:rPr>
            </w:pPr>
            <w:bookmarkStart w:id="15" w:name="生产邮编"/>
            <w:r>
              <w:rPr>
                <w:rFonts w:ascii="宋体"/>
                <w:b/>
                <w:sz w:val="21"/>
              </w:rPr>
              <w:t>331200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both"/>
              <w:rPr>
                <w:rFonts w:ascii="宋体"/>
                <w:b/>
                <w:sz w:val="21"/>
              </w:rPr>
            </w:pPr>
            <w:r>
              <w:rPr>
                <w:rFonts w:hint="eastAsia" w:ascii="宋体" w:hAnsi="宋体"/>
                <w:b/>
                <w:sz w:val="21"/>
              </w:rPr>
              <w:t>联系人</w:t>
            </w:r>
          </w:p>
        </w:tc>
        <w:tc>
          <w:tcPr>
            <w:tcW w:w="1689" w:type="dxa"/>
            <w:vAlign w:val="center"/>
          </w:tcPr>
          <w:p>
            <w:pPr>
              <w:jc w:val="both"/>
              <w:rPr>
                <w:rFonts w:ascii="宋体"/>
                <w:b/>
                <w:sz w:val="21"/>
              </w:rPr>
            </w:pPr>
            <w:bookmarkStart w:id="16" w:name="联系人"/>
            <w:r>
              <w:rPr>
                <w:rFonts w:ascii="宋体"/>
                <w:b/>
                <w:sz w:val="21"/>
              </w:rPr>
              <w:t>肖园琴</w:t>
            </w:r>
            <w:bookmarkEnd w:id="16"/>
          </w:p>
        </w:tc>
        <w:tc>
          <w:tcPr>
            <w:tcW w:w="1109" w:type="dxa"/>
            <w:vAlign w:val="center"/>
          </w:tcPr>
          <w:p>
            <w:pPr>
              <w:jc w:val="both"/>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both"/>
              <w:rPr>
                <w:rFonts w:ascii="宋体"/>
                <w:b/>
                <w:sz w:val="21"/>
              </w:rPr>
            </w:pPr>
            <w:bookmarkStart w:id="17" w:name="联系人电话Add"/>
            <w:r>
              <w:rPr>
                <w:rFonts w:ascii="宋体"/>
                <w:b/>
                <w:sz w:val="21"/>
              </w:rPr>
              <w:t>0795-7857666</w:t>
            </w:r>
            <w:bookmarkEnd w:id="17"/>
          </w:p>
        </w:tc>
        <w:tc>
          <w:tcPr>
            <w:tcW w:w="1672" w:type="dxa"/>
            <w:vAlign w:val="center"/>
          </w:tcPr>
          <w:p>
            <w:pPr>
              <w:jc w:val="both"/>
              <w:rPr>
                <w:rFonts w:ascii="宋体"/>
                <w:b/>
                <w:sz w:val="21"/>
              </w:rPr>
            </w:pPr>
            <w:r>
              <w:rPr>
                <w:rFonts w:hint="eastAsia" w:ascii="宋体" w:hAnsi="宋体"/>
                <w:b/>
                <w:sz w:val="21"/>
              </w:rPr>
              <w:t>传真</w:t>
            </w:r>
          </w:p>
        </w:tc>
        <w:tc>
          <w:tcPr>
            <w:tcW w:w="1500" w:type="dxa"/>
            <w:vAlign w:val="center"/>
          </w:tcPr>
          <w:p>
            <w:pPr>
              <w:jc w:val="both"/>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both"/>
              <w:rPr>
                <w:rFonts w:ascii="宋体" w:hAnsi="宋体"/>
                <w:b/>
                <w:sz w:val="21"/>
                <w:szCs w:val="21"/>
              </w:rPr>
            </w:pPr>
            <w:r>
              <w:rPr>
                <w:rFonts w:hint="eastAsia" w:ascii="宋体" w:hAnsi="宋体"/>
                <w:b/>
                <w:sz w:val="21"/>
                <w:szCs w:val="21"/>
              </w:rPr>
              <w:t>法人代表</w:t>
            </w:r>
          </w:p>
        </w:tc>
        <w:tc>
          <w:tcPr>
            <w:tcW w:w="1689" w:type="dxa"/>
            <w:vAlign w:val="center"/>
          </w:tcPr>
          <w:p>
            <w:pPr>
              <w:jc w:val="both"/>
              <w:rPr>
                <w:rFonts w:ascii="宋体" w:hAnsi="宋体"/>
                <w:b/>
                <w:sz w:val="21"/>
                <w:szCs w:val="21"/>
              </w:rPr>
            </w:pPr>
            <w:bookmarkStart w:id="19" w:name="法人"/>
            <w:r>
              <w:rPr>
                <w:rFonts w:ascii="宋体" w:hAnsi="宋体"/>
                <w:b/>
                <w:sz w:val="21"/>
                <w:szCs w:val="21"/>
              </w:rPr>
              <w:t>胡庆春</w:t>
            </w:r>
            <w:bookmarkEnd w:id="19"/>
          </w:p>
        </w:tc>
        <w:tc>
          <w:tcPr>
            <w:tcW w:w="1109" w:type="dxa"/>
            <w:vAlign w:val="center"/>
          </w:tcPr>
          <w:p>
            <w:pPr>
              <w:jc w:val="both"/>
              <w:rPr>
                <w:rFonts w:ascii="宋体" w:hAnsi="宋体"/>
                <w:b/>
                <w:sz w:val="21"/>
                <w:szCs w:val="21"/>
              </w:rPr>
            </w:pPr>
            <w:r>
              <w:rPr>
                <w:rFonts w:hint="eastAsia" w:ascii="宋体" w:hAnsi="宋体"/>
                <w:b/>
                <w:sz w:val="21"/>
                <w:szCs w:val="21"/>
              </w:rPr>
              <w:t>总经理</w:t>
            </w:r>
          </w:p>
        </w:tc>
        <w:tc>
          <w:tcPr>
            <w:tcW w:w="1618" w:type="dxa"/>
            <w:gridSpan w:val="2"/>
            <w:vAlign w:val="center"/>
          </w:tcPr>
          <w:p>
            <w:pPr>
              <w:jc w:val="both"/>
              <w:rPr>
                <w:rFonts w:ascii="宋体" w:hAnsi="宋体"/>
                <w:b/>
                <w:sz w:val="21"/>
                <w:szCs w:val="21"/>
              </w:rPr>
            </w:pPr>
          </w:p>
        </w:tc>
        <w:tc>
          <w:tcPr>
            <w:tcW w:w="1672" w:type="dxa"/>
            <w:vAlign w:val="center"/>
          </w:tcPr>
          <w:p>
            <w:pPr>
              <w:jc w:val="both"/>
              <w:rPr>
                <w:rFonts w:ascii="宋体" w:hAnsi="宋体"/>
                <w:b/>
                <w:sz w:val="21"/>
                <w:szCs w:val="21"/>
              </w:rPr>
            </w:pPr>
            <w:r>
              <w:rPr>
                <w:rFonts w:hint="eastAsia" w:ascii="宋体" w:hAnsi="宋体"/>
                <w:b/>
                <w:sz w:val="21"/>
                <w:szCs w:val="21"/>
              </w:rPr>
              <w:t>管理者代表</w:t>
            </w:r>
          </w:p>
        </w:tc>
        <w:tc>
          <w:tcPr>
            <w:tcW w:w="1500" w:type="dxa"/>
            <w:vAlign w:val="center"/>
          </w:tcPr>
          <w:p>
            <w:pPr>
              <w:jc w:val="both"/>
              <w:rPr>
                <w:rFonts w:ascii="宋体"/>
                <w:b/>
                <w:sz w:val="21"/>
              </w:rPr>
            </w:pPr>
            <w:bookmarkStart w:id="20" w:name="管理者代表"/>
            <w:r>
              <w:rPr>
                <w:rFonts w:ascii="宋体"/>
                <w:b/>
                <w:sz w:val="21"/>
              </w:rPr>
              <w:t>肖园琴</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both"/>
              <w:rPr>
                <w:rFonts w:ascii="宋体" w:hAnsi="宋体"/>
                <w:b/>
                <w:sz w:val="21"/>
                <w:szCs w:val="21"/>
              </w:rPr>
            </w:pPr>
            <w:r>
              <w:rPr>
                <w:rFonts w:hint="eastAsia" w:ascii="宋体" w:hAnsi="宋体"/>
                <w:b/>
                <w:sz w:val="21"/>
                <w:szCs w:val="21"/>
              </w:rPr>
              <w:t>审核日期</w:t>
            </w:r>
          </w:p>
        </w:tc>
        <w:tc>
          <w:tcPr>
            <w:tcW w:w="2798" w:type="dxa"/>
            <w:gridSpan w:val="2"/>
            <w:vAlign w:val="center"/>
          </w:tcPr>
          <w:p>
            <w:pPr>
              <w:jc w:val="both"/>
              <w:rPr>
                <w:rFonts w:ascii="宋体" w:hAnsi="宋体"/>
                <w:b/>
                <w:sz w:val="21"/>
                <w:szCs w:val="21"/>
              </w:rPr>
            </w:pPr>
            <w:bookmarkStart w:id="21" w:name="审核日期"/>
            <w:r>
              <w:rPr>
                <w:rFonts w:ascii="宋体" w:hAnsi="宋体"/>
                <w:b/>
                <w:sz w:val="21"/>
                <w:szCs w:val="21"/>
              </w:rPr>
              <w:t>2021年03月29日 上午至2021年03月30日 上午</w:t>
            </w:r>
            <w:bookmarkEnd w:id="21"/>
          </w:p>
        </w:tc>
        <w:tc>
          <w:tcPr>
            <w:tcW w:w="1609" w:type="dxa"/>
            <w:vAlign w:val="center"/>
          </w:tcPr>
          <w:p>
            <w:pPr>
              <w:jc w:val="both"/>
              <w:rPr>
                <w:rFonts w:ascii="宋体" w:hAnsi="宋体"/>
                <w:b/>
                <w:sz w:val="21"/>
                <w:szCs w:val="21"/>
              </w:rPr>
            </w:pPr>
            <w:r>
              <w:rPr>
                <w:rFonts w:hint="eastAsia" w:ascii="宋体" w:hAnsi="宋体"/>
                <w:b/>
                <w:sz w:val="21"/>
                <w:szCs w:val="21"/>
              </w:rPr>
              <w:t>一体化审核</w:t>
            </w:r>
          </w:p>
        </w:tc>
        <w:tc>
          <w:tcPr>
            <w:tcW w:w="3181" w:type="dxa"/>
            <w:gridSpan w:val="3"/>
            <w:vAlign w:val="center"/>
          </w:tcPr>
          <w:p>
            <w:pPr>
              <w:jc w:val="both"/>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城市公共交通亭（棚）、广告棚（牌）、旅游咨询亭、治安亭（棚）、户外各类收费亭、报刊亭的生产</w:t>
            </w:r>
          </w:p>
          <w:p>
            <w:pPr>
              <w:spacing w:line="360" w:lineRule="exact"/>
              <w:rPr>
                <w:rFonts w:ascii="宋体" w:hAnsi="宋体"/>
                <w:b/>
                <w:sz w:val="21"/>
                <w:szCs w:val="21"/>
              </w:rPr>
            </w:pPr>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：城市公共交通亭（棚）、广告棚（牌）、旅游咨询亭、治安亭（棚）、户外各类收费亭、报刊亭的生产所涉及的相关环境管理活动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：城市公共交通亭（棚）、广告棚（牌）、旅游咨询亭、治安亭（棚）、户外各类收费亭、报刊亭的生产所涉及的相关职业健康安全管理活动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center"/>
              <w:rPr>
                <w:rFonts w:ascii="宋体" w:hAnsi="宋体"/>
                <w:b/>
                <w:sz w:val="21"/>
                <w:szCs w:val="21"/>
              </w:rPr>
            </w:pPr>
            <w:bookmarkStart w:id="26" w:name="专业代码"/>
            <w:r>
              <w:rPr>
                <w:rFonts w:ascii="宋体" w:hAnsi="宋体"/>
                <w:b/>
                <w:sz w:val="21"/>
                <w:szCs w:val="21"/>
              </w:rPr>
              <w:t>Q：17.12.05</w:t>
            </w:r>
          </w:p>
          <w:p>
            <w:pPr>
              <w:spacing w:line="260" w:lineRule="exact"/>
              <w:jc w:val="center"/>
              <w:rPr>
                <w:rFonts w:ascii="宋体" w:hAnsi="宋体"/>
                <w:b/>
                <w:sz w:val="21"/>
                <w:szCs w:val="21"/>
              </w:rPr>
            </w:pPr>
            <w:r>
              <w:rPr>
                <w:rFonts w:ascii="宋体" w:hAnsi="宋体"/>
                <w:b/>
                <w:sz w:val="21"/>
                <w:szCs w:val="21"/>
              </w:rPr>
              <w:t>E：17.12.05</w:t>
            </w:r>
          </w:p>
          <w:p>
            <w:pPr>
              <w:spacing w:line="260" w:lineRule="exact"/>
              <w:jc w:val="center"/>
              <w:rPr>
                <w:rFonts w:ascii="宋体" w:hAnsi="宋体"/>
                <w:b/>
                <w:sz w:val="21"/>
                <w:szCs w:val="21"/>
              </w:rPr>
            </w:pPr>
            <w:r>
              <w:rPr>
                <w:rFonts w:ascii="宋体" w:hAnsi="宋体"/>
                <w:b/>
                <w:sz w:val="21"/>
                <w:szCs w:val="21"/>
              </w:rPr>
              <w:t>O：17.12.05</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hint="eastAsia" w:ascii="宋体" w:hAnsi="宋体"/>
                <w:b/>
                <w:sz w:val="21"/>
                <w:szCs w:val="21"/>
                <w:lang w:val="en-US" w:eastAsia="zh-CN"/>
              </w:rPr>
            </w:pPr>
            <w:r>
              <w:rPr>
                <w:rFonts w:hint="eastAsia" w:ascii="宋体" w:hAnsi="宋体"/>
                <w:b/>
                <w:sz w:val="21"/>
                <w:szCs w:val="21"/>
                <w:lang w:val="en-US" w:eastAsia="zh-CN"/>
              </w:rPr>
              <w:t>Q:2022.6.4</w:t>
            </w:r>
          </w:p>
          <w:p>
            <w:pPr>
              <w:spacing w:line="260" w:lineRule="exact"/>
              <w:jc w:val="center"/>
              <w:rPr>
                <w:rFonts w:hint="eastAsia" w:ascii="宋体" w:hAnsi="宋体"/>
                <w:b/>
                <w:sz w:val="21"/>
                <w:szCs w:val="21"/>
                <w:lang w:val="en-US" w:eastAsia="zh-CN"/>
              </w:rPr>
            </w:pPr>
            <w:r>
              <w:rPr>
                <w:rFonts w:hint="eastAsia" w:ascii="宋体" w:hAnsi="宋体"/>
                <w:b/>
                <w:sz w:val="21"/>
                <w:szCs w:val="21"/>
                <w:lang w:val="en-US" w:eastAsia="zh-CN"/>
              </w:rPr>
              <w:t>E:2022.6.4</w:t>
            </w:r>
          </w:p>
          <w:p>
            <w:pPr>
              <w:spacing w:line="260" w:lineRule="exact"/>
              <w:jc w:val="center"/>
              <w:rPr>
                <w:rFonts w:hint="default" w:ascii="宋体" w:hAnsi="宋体"/>
                <w:b/>
                <w:sz w:val="21"/>
                <w:szCs w:val="21"/>
                <w:lang w:val="en-US" w:eastAsia="zh-CN"/>
              </w:rPr>
            </w:pPr>
            <w:r>
              <w:rPr>
                <w:rFonts w:hint="eastAsia" w:ascii="宋体" w:hAnsi="宋体"/>
                <w:b/>
                <w:sz w:val="21"/>
                <w:szCs w:val="21"/>
                <w:lang w:val="en-US" w:eastAsia="zh-CN"/>
              </w:rPr>
              <w:t>S:2022.6.4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jc w:val="center"/>
              <w:rPr>
                <w:rFonts w:ascii="宋体"/>
                <w:b/>
                <w:sz w:val="21"/>
              </w:rPr>
            </w:pPr>
            <w:r>
              <w:rPr>
                <w:rFonts w:ascii="宋体" w:hAnsi="宋体"/>
                <w:b/>
                <w:sz w:val="21"/>
                <w:szCs w:val="21"/>
              </w:rPr>
              <w:t>2020年04月01日 上午04月01日 下午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pStyle w:val="2"/>
      </w:pP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360" w:lineRule="auto"/>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江西欣盛泰实业有限公司是一家专门从事城市公共交通亭（棚）、广告棚（牌）、旅游咨询亭、治安亭（棚）、户外各类收费亭、报刊亭的生产及公共自行车服务亭（停车棚）的生产零售、国内贸易的公司。公司于2012年4月成立，注册资金3680万元。</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注册地址和生产经营地址：江西省樟树市城北（张家山）工业园1号路；</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w:t>
            </w:r>
            <w:r>
              <w:rPr>
                <w:rFonts w:hint="default" w:ascii="宋体" w:hAnsi="宋体" w:cs="Arial"/>
                <w:color w:val="auto"/>
                <w:spacing w:val="-6"/>
                <w:sz w:val="21"/>
                <w:szCs w:val="21"/>
                <w:lang w:val="en-US" w:eastAsia="zh-CN"/>
              </w:rPr>
              <w:t>通过定期的网站获取、顾客沟通、及定期内部总结等方式</w:t>
            </w:r>
            <w:r>
              <w:rPr>
                <w:rFonts w:hint="eastAsia" w:ascii="宋体" w:hAnsi="宋体" w:cs="Arial"/>
                <w:color w:val="auto"/>
                <w:spacing w:val="-6"/>
                <w:sz w:val="21"/>
                <w:szCs w:val="21"/>
                <w:lang w:val="en-US" w:eastAsia="zh-CN"/>
              </w:rPr>
              <w:t>对内外部因素</w:t>
            </w:r>
            <w:r>
              <w:rPr>
                <w:rFonts w:hint="default" w:ascii="宋体" w:hAnsi="宋体" w:cs="Arial"/>
                <w:color w:val="auto"/>
                <w:spacing w:val="-6"/>
                <w:sz w:val="21"/>
                <w:szCs w:val="21"/>
                <w:lang w:val="en-US" w:eastAsia="zh-CN"/>
              </w:rPr>
              <w:t>进行监视和评审</w:t>
            </w:r>
            <w:r>
              <w:rPr>
                <w:rFonts w:hint="eastAsia" w:ascii="宋体" w:hAnsi="宋体" w:cs="Arial"/>
                <w:color w:val="auto"/>
                <w:spacing w:val="-6"/>
                <w:sz w:val="21"/>
                <w:szCs w:val="21"/>
                <w:lang w:val="en-US" w:eastAsia="zh-CN"/>
              </w:rPr>
              <w:t>：</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外部因素：</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金属制品等行业持续新建发展带来的机遇，安全环保的法规和政府对生产加工业的环保性、安全性和质量提出了越来越高的要求，行业有着非常大的提升空间，并取得迅速的发展。</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国家政策合规性要求越来越高，产业化发展迅速，竞争激烈；</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地方政府在市政建设投入加大，市场需求加大；</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国内文化、社会因素影响因素很小。</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与同类企业相比，具有</w:t>
            </w:r>
            <w:r>
              <w:rPr>
                <w:rFonts w:hint="eastAsia" w:ascii="宋体" w:hAnsi="宋体" w:cs="Arial"/>
                <w:color w:val="auto"/>
                <w:spacing w:val="-6"/>
                <w:sz w:val="21"/>
                <w:szCs w:val="21"/>
                <w:lang w:val="en-US" w:eastAsia="zh-CN"/>
              </w:rPr>
              <w:t>设备先进、</w:t>
            </w:r>
            <w:r>
              <w:rPr>
                <w:rFonts w:hint="default" w:ascii="宋体" w:hAnsi="宋体" w:cs="Arial"/>
                <w:color w:val="auto"/>
                <w:spacing w:val="-6"/>
                <w:sz w:val="21"/>
                <w:szCs w:val="21"/>
                <w:lang w:val="en-US" w:eastAsia="zh-CN"/>
              </w:rPr>
              <w:t>人员少、生产效率高</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生产周期短、技术力量</w:t>
            </w:r>
            <w:r>
              <w:rPr>
                <w:rFonts w:hint="eastAsia" w:ascii="宋体" w:hAnsi="宋体" w:cs="Arial"/>
                <w:color w:val="auto"/>
                <w:spacing w:val="-6"/>
                <w:sz w:val="21"/>
                <w:szCs w:val="21"/>
                <w:lang w:val="en-US" w:eastAsia="zh-CN"/>
              </w:rPr>
              <w:t>强等</w:t>
            </w:r>
            <w:r>
              <w:rPr>
                <w:rFonts w:hint="default" w:ascii="宋体" w:hAnsi="宋体" w:cs="Arial"/>
                <w:color w:val="auto"/>
                <w:spacing w:val="-6"/>
                <w:sz w:val="21"/>
                <w:szCs w:val="21"/>
                <w:lang w:val="en-US" w:eastAsia="zh-CN"/>
              </w:rPr>
              <w:t>优势。</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内部因素：</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公司的人员均为有多年生产实践经验和质检及相关岗位管理工作经验</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生产技术人员全部经过技能/合规性培训，业务熟练，质量意识</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环境保护意识</w:t>
            </w:r>
            <w:r>
              <w:rPr>
                <w:rFonts w:hint="eastAsia" w:ascii="宋体" w:hAnsi="宋体" w:cs="Arial"/>
                <w:color w:val="auto"/>
                <w:spacing w:val="-6"/>
                <w:sz w:val="21"/>
                <w:szCs w:val="21"/>
                <w:lang w:val="en-US" w:eastAsia="zh-CN"/>
              </w:rPr>
              <w:t>、职业健康安全意识</w:t>
            </w:r>
            <w:r>
              <w:rPr>
                <w:rFonts w:hint="default" w:ascii="宋体" w:hAnsi="宋体" w:cs="Arial"/>
                <w:color w:val="auto"/>
                <w:spacing w:val="-6"/>
                <w:sz w:val="21"/>
                <w:szCs w:val="21"/>
                <w:lang w:val="en-US" w:eastAsia="zh-CN"/>
              </w:rPr>
              <w:t>较强。</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采用先进成熟的生产工艺，产品</w:t>
            </w:r>
            <w:r>
              <w:rPr>
                <w:rFonts w:hint="eastAsia" w:ascii="宋体" w:hAnsi="宋体" w:cs="Arial"/>
                <w:color w:val="auto"/>
                <w:spacing w:val="-6"/>
                <w:sz w:val="21"/>
                <w:szCs w:val="21"/>
                <w:lang w:val="en-US" w:eastAsia="zh-CN"/>
              </w:rPr>
              <w:t>质量、</w:t>
            </w:r>
            <w:r>
              <w:rPr>
                <w:rFonts w:hint="default" w:ascii="宋体" w:hAnsi="宋体" w:cs="Arial"/>
                <w:color w:val="auto"/>
                <w:spacing w:val="-6"/>
                <w:sz w:val="21"/>
                <w:szCs w:val="21"/>
                <w:lang w:val="en-US" w:eastAsia="zh-CN"/>
              </w:rPr>
              <w:t>环境、职业健康安全有保证，规模较大，产能</w:t>
            </w:r>
            <w:r>
              <w:rPr>
                <w:rFonts w:hint="eastAsia" w:ascii="宋体" w:hAnsi="宋体" w:cs="Arial"/>
                <w:color w:val="auto"/>
                <w:spacing w:val="-6"/>
                <w:sz w:val="21"/>
                <w:szCs w:val="21"/>
                <w:lang w:val="en-US" w:eastAsia="zh-CN"/>
              </w:rPr>
              <w:t>稍显不足</w:t>
            </w:r>
            <w:r>
              <w:rPr>
                <w:rFonts w:hint="default" w:ascii="宋体" w:hAnsi="宋体" w:cs="Arial"/>
                <w:color w:val="auto"/>
                <w:spacing w:val="-6"/>
                <w:sz w:val="21"/>
                <w:szCs w:val="21"/>
                <w:lang w:val="en-US" w:eastAsia="zh-CN"/>
              </w:rPr>
              <w:t>。</w:t>
            </w:r>
          </w:p>
          <w:p>
            <w:pPr>
              <w:spacing w:line="360" w:lineRule="auto"/>
              <w:rPr>
                <w:rFonts w:hint="eastAsia" w:ascii="宋体" w:hAnsi="宋体" w:cs="Arial"/>
                <w:color w:val="FF0000"/>
                <w:spacing w:val="-6"/>
                <w:sz w:val="21"/>
                <w:szCs w:val="21"/>
                <w:lang w:val="en-US" w:eastAsia="zh-CN"/>
              </w:rPr>
            </w:pPr>
            <w:r>
              <w:rPr>
                <w:rFonts w:hint="default" w:ascii="宋体" w:hAnsi="宋体" w:cs="Arial"/>
                <w:color w:val="auto"/>
                <w:spacing w:val="-6"/>
                <w:sz w:val="21"/>
                <w:szCs w:val="21"/>
                <w:lang w:val="en-US" w:eastAsia="zh-CN"/>
              </w:rPr>
              <w:t>公司</w:t>
            </w:r>
            <w:r>
              <w:rPr>
                <w:rFonts w:hint="eastAsia" w:ascii="宋体" w:hAnsi="宋体" w:cs="Arial"/>
                <w:color w:val="auto"/>
                <w:spacing w:val="-6"/>
                <w:sz w:val="21"/>
                <w:szCs w:val="21"/>
                <w:lang w:val="en-US" w:eastAsia="zh-CN"/>
              </w:rPr>
              <w:t>资产负债率不到30%，</w:t>
            </w:r>
            <w:r>
              <w:rPr>
                <w:rFonts w:hint="default" w:ascii="宋体" w:hAnsi="宋体" w:cs="Arial"/>
                <w:color w:val="auto"/>
                <w:spacing w:val="-6"/>
                <w:sz w:val="21"/>
                <w:szCs w:val="21"/>
                <w:lang w:val="en-US" w:eastAsia="zh-CN"/>
              </w:rPr>
              <w:t>财务能保障公司质量/环境/职业健康安全管理体系运行所需</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公司的技术、销售基础设施、环保安全设施配备齐全、过程运行环境控制良好</w:t>
            </w:r>
            <w:r>
              <w:rPr>
                <w:rFonts w:hint="eastAsia" w:ascii="宋体" w:hAnsi="宋体" w:cs="Arial"/>
                <w:color w:val="auto"/>
                <w:spacing w:val="-6"/>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spacing w:line="360" w:lineRule="auto"/>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确定了与质量、环境、职业健康安全管理体系有关的相关方，主要包括：顾客、股东、员工、业务往来单位、供应商、第三方认证服务机构、外来施工单位、环保局、应急管理局、市场监督、供电所、员工等；</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相关方对企业的要求有：遵守国家的现行法律法规、保持有效的资质、生产的产品节能环保，对环境无重大污染、无安全隐患、不断提高技术水平以及不断提高客户满意度等。</w:t>
            </w:r>
          </w:p>
          <w:p>
            <w:pPr>
              <w:adjustRightInd w:val="0"/>
              <w:snapToGrid w:val="0"/>
              <w:spacing w:line="360" w:lineRule="auto"/>
              <w:ind w:right="120" w:rightChars="50" w:firstLine="396" w:firstLineChars="200"/>
              <w:textAlignment w:val="baseline"/>
              <w:rPr>
                <w:rFonts w:hint="eastAsia" w:ascii="宋体" w:hAnsi="宋体"/>
                <w:b/>
                <w:sz w:val="21"/>
                <w:szCs w:val="21"/>
              </w:rPr>
            </w:pPr>
            <w:r>
              <w:rPr>
                <w:rFonts w:hint="default" w:ascii="宋体" w:hAnsi="宋体" w:cs="Arial"/>
                <w:spacing w:val="-6"/>
                <w:sz w:val="21"/>
                <w:szCs w:val="21"/>
                <w:lang w:val="en-US" w:eastAsia="zh-CN"/>
              </w:rPr>
              <w:t>对这些相关方</w:t>
            </w:r>
            <w:r>
              <w:rPr>
                <w:rFonts w:hint="eastAsia" w:ascii="宋体" w:hAnsi="宋体" w:cs="Arial"/>
                <w:spacing w:val="-6"/>
                <w:sz w:val="21"/>
                <w:szCs w:val="21"/>
                <w:lang w:val="en-US" w:eastAsia="zh-CN"/>
              </w:rPr>
              <w:t>进行了不定期的监视</w:t>
            </w:r>
            <w:r>
              <w:rPr>
                <w:rFonts w:hint="default" w:ascii="宋体" w:hAnsi="宋体" w:cs="Arial"/>
                <w:spacing w:val="-6"/>
                <w:sz w:val="21"/>
                <w:szCs w:val="21"/>
                <w:lang w:val="en-US" w:eastAsia="zh-CN"/>
              </w:rPr>
              <w:t>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spacing w:line="360" w:lineRule="auto"/>
              <w:rPr>
                <w:rFonts w:hint="eastAsia" w:ascii="宋体" w:hAnsi="宋体"/>
                <w:b/>
                <w:sz w:val="21"/>
                <w:szCs w:val="21"/>
              </w:rPr>
            </w:pPr>
            <w:r>
              <w:rPr>
                <w:rFonts w:ascii="宋体" w:hAnsi="宋体"/>
                <w:b/>
                <w:sz w:val="21"/>
                <w:szCs w:val="21"/>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adjustRightInd w:val="0"/>
              <w:snapToGrid w:val="0"/>
              <w:spacing w:line="360" w:lineRule="auto"/>
              <w:ind w:right="120"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 xml:space="preserve">质量至上、持续创新、诚实守信、顾客至上 </w:t>
            </w:r>
          </w:p>
          <w:p>
            <w:pPr>
              <w:adjustRightInd w:val="0"/>
              <w:snapToGrid w:val="0"/>
              <w:spacing w:line="360" w:lineRule="auto"/>
              <w:ind w:right="120"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预防为主，降低风险；遵章守法，创造和谐</w:t>
            </w:r>
          </w:p>
          <w:p>
            <w:pPr>
              <w:adjustRightInd w:val="0"/>
              <w:snapToGrid w:val="0"/>
              <w:spacing w:line="360" w:lineRule="auto"/>
              <w:ind w:right="120" w:rightChars="50" w:firstLine="396" w:firstLineChars="200"/>
              <w:textAlignment w:val="baseline"/>
              <w:rPr>
                <w:rFonts w:hint="eastAsia" w:ascii="宋体" w:hAnsi="宋体"/>
                <w:b/>
                <w:sz w:val="21"/>
                <w:szCs w:val="21"/>
              </w:rPr>
            </w:pPr>
            <w:r>
              <w:rPr>
                <w:rFonts w:hint="eastAsia" w:ascii="宋体" w:hAnsi="宋体" w:eastAsia="宋体" w:cs="Arial"/>
                <w:spacing w:val="-6"/>
                <w:sz w:val="21"/>
                <w:szCs w:val="21"/>
                <w:lang w:val="en-US" w:eastAsia="zh-CN"/>
              </w:rPr>
              <w:t>方针适宜于公司现状，在管理手册中明确，通过文件发放，使员工获知，适用时提供给相关方。</w:t>
            </w:r>
          </w:p>
          <w:p>
            <w:pPr>
              <w:adjustRightInd w:val="0"/>
              <w:snapToGrid w:val="0"/>
              <w:spacing w:line="360" w:lineRule="auto"/>
              <w:ind w:right="120"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管理评审对质量、环境、职业健康安全方针的适宜性作了评审，判定适宜，适合公司的发展需求。</w:t>
            </w:r>
          </w:p>
          <w:p>
            <w:pPr>
              <w:adjustRightInd w:val="0"/>
              <w:snapToGrid w:val="0"/>
              <w:spacing w:line="360" w:lineRule="auto"/>
              <w:ind w:right="120" w:rightChars="50" w:firstLine="396" w:firstLineChars="200"/>
              <w:textAlignment w:val="baseline"/>
              <w:rPr>
                <w:rFonts w:hint="eastAsia" w:ascii="宋体" w:hAnsi="宋体"/>
                <w:b/>
                <w:sz w:val="21"/>
                <w:szCs w:val="21"/>
              </w:rPr>
            </w:pPr>
            <w:r>
              <w:rPr>
                <w:rFonts w:hint="eastAsia" w:ascii="宋体" w:hAnsi="宋体" w:eastAsia="宋体" w:cs="Arial"/>
                <w:spacing w:val="-6"/>
                <w:sz w:val="21"/>
                <w:szCs w:val="21"/>
                <w:lang w:val="en-US" w:eastAsia="zh-CN"/>
              </w:rPr>
              <w:t>质量、环境、职业健康安全方针能符合标准要求。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spacing w:line="360" w:lineRule="auto"/>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基于对4.1和4.2的考虑，分析了公司存在的风险和机遇：</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机遇：</w:t>
            </w:r>
            <w:r>
              <w:rPr>
                <w:rFonts w:hint="default" w:ascii="宋体" w:hAnsi="宋体" w:cs="Arial"/>
                <w:spacing w:val="-6"/>
                <w:sz w:val="21"/>
                <w:szCs w:val="21"/>
                <w:lang w:val="en-US" w:eastAsia="zh-CN"/>
              </w:rPr>
              <w:t>行业市场的规模化，市场需求量很大</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销售市场巨大，目前市场经济对企业有较好的推动作用。</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风险：</w:t>
            </w:r>
            <w:r>
              <w:rPr>
                <w:rFonts w:hint="default" w:ascii="宋体" w:hAnsi="宋体" w:cs="Arial"/>
                <w:spacing w:val="-6"/>
                <w:sz w:val="21"/>
                <w:szCs w:val="21"/>
                <w:lang w:val="en-US" w:eastAsia="zh-CN"/>
              </w:rPr>
              <w:t>目前国内市场的同类产品有较多的品牌，竞争逐渐加剧</w:t>
            </w:r>
            <w:r>
              <w:rPr>
                <w:rFonts w:hint="eastAsia" w:ascii="宋体" w:hAnsi="宋体" w:cs="Arial"/>
                <w:spacing w:val="-6"/>
                <w:sz w:val="21"/>
                <w:szCs w:val="21"/>
                <w:lang w:val="en-US" w:eastAsia="zh-CN"/>
              </w:rPr>
              <w:t>，公司产能受限带来一定的交期风险</w:t>
            </w:r>
            <w:r>
              <w:rPr>
                <w:rFonts w:hint="default" w:ascii="宋体" w:hAnsi="宋体" w:cs="Arial"/>
                <w:spacing w:val="-6"/>
                <w:sz w:val="21"/>
                <w:szCs w:val="21"/>
                <w:lang w:val="en-US" w:eastAsia="zh-CN"/>
              </w:rPr>
              <w:t>。</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编制有《风险和机遇的应对控制程序》，对组织内外的风险和机遇进行了策划。</w:t>
            </w:r>
            <w:r>
              <w:rPr>
                <w:rFonts w:hint="eastAsia" w:ascii="宋体" w:hAnsi="宋体" w:cs="Arial"/>
                <w:spacing w:val="-6"/>
                <w:sz w:val="21"/>
                <w:szCs w:val="21"/>
                <w:lang w:val="en-US" w:eastAsia="zh-CN"/>
              </w:rPr>
              <w:t>介绍说，公司</w:t>
            </w:r>
            <w:r>
              <w:rPr>
                <w:rFonts w:hint="default" w:ascii="宋体" w:hAnsi="宋体" w:cs="Arial"/>
                <w:spacing w:val="-6"/>
                <w:sz w:val="21"/>
                <w:szCs w:val="21"/>
                <w:lang w:val="en-US" w:eastAsia="zh-CN"/>
              </w:rPr>
              <w:t>识别了风险和机遇来源、风险和机遇内容、管理措施、责任部门、实时时间、评价措施等</w:t>
            </w:r>
            <w:r>
              <w:rPr>
                <w:rFonts w:hint="eastAsia" w:ascii="宋体" w:hAnsi="宋体" w:cs="Arial"/>
                <w:spacing w:val="-6"/>
                <w:sz w:val="21"/>
                <w:szCs w:val="21"/>
                <w:lang w:val="en-US" w:eastAsia="zh-CN"/>
              </w:rPr>
              <w:t>；</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重大环境因素：吸入性伤害</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人身伤害</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吸入性伤害</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触电、火灾伤害</w:t>
            </w:r>
            <w:r>
              <w:rPr>
                <w:rFonts w:hint="eastAsia" w:ascii="宋体" w:hAnsi="宋体" w:cs="Arial"/>
                <w:spacing w:val="-6"/>
                <w:sz w:val="21"/>
                <w:szCs w:val="21"/>
                <w:lang w:val="en-US" w:eastAsia="zh-CN"/>
              </w:rPr>
              <w:t>；</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策划了控制措施，制定有管理方案，</w:t>
            </w:r>
            <w:r>
              <w:rPr>
                <w:rFonts w:hint="default" w:ascii="宋体" w:hAnsi="宋体" w:eastAsia="宋体" w:cs="Arial"/>
                <w:spacing w:val="-6"/>
                <w:sz w:val="21"/>
                <w:szCs w:val="21"/>
                <w:lang w:val="en-US" w:eastAsia="zh-CN"/>
              </w:rPr>
              <w:t>一旦发生按相关应急预案执行。</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highlight w:val="none"/>
                <w:lang w:val="en-US" w:eastAsia="zh-CN"/>
              </w:rPr>
            </w:pPr>
            <w:r>
              <w:rPr>
                <w:rFonts w:hint="default" w:ascii="宋体" w:hAnsi="宋体" w:eastAsia="宋体" w:cs="Arial"/>
                <w:spacing w:val="-6"/>
                <w:sz w:val="21"/>
                <w:szCs w:val="21"/>
                <w:highlight w:val="none"/>
                <w:lang w:val="en-US" w:eastAsia="zh-CN"/>
              </w:rPr>
              <w:t>不可接受风险：机械伤害</w:t>
            </w:r>
            <w:r>
              <w:rPr>
                <w:rFonts w:hint="eastAsia" w:ascii="宋体" w:hAnsi="宋体" w:cs="Arial"/>
                <w:spacing w:val="-6"/>
                <w:sz w:val="21"/>
                <w:szCs w:val="21"/>
                <w:highlight w:val="none"/>
                <w:lang w:val="en-US" w:eastAsia="zh-CN"/>
              </w:rPr>
              <w:t>、</w:t>
            </w:r>
            <w:r>
              <w:rPr>
                <w:rFonts w:hint="default" w:ascii="宋体" w:hAnsi="宋体" w:eastAsia="宋体" w:cs="Arial"/>
                <w:spacing w:val="-6"/>
                <w:sz w:val="21"/>
                <w:szCs w:val="21"/>
                <w:highlight w:val="none"/>
                <w:lang w:val="en-US" w:eastAsia="zh-CN"/>
              </w:rPr>
              <w:t>吸入性伤害</w:t>
            </w:r>
            <w:r>
              <w:rPr>
                <w:rFonts w:hint="eastAsia" w:ascii="宋体" w:hAnsi="宋体" w:cs="Arial"/>
                <w:spacing w:val="-6"/>
                <w:sz w:val="21"/>
                <w:szCs w:val="21"/>
                <w:highlight w:val="none"/>
                <w:lang w:val="en-US" w:eastAsia="zh-CN"/>
              </w:rPr>
              <w:t>、</w:t>
            </w:r>
            <w:r>
              <w:rPr>
                <w:rFonts w:hint="default" w:ascii="宋体" w:hAnsi="宋体" w:eastAsia="宋体" w:cs="Arial"/>
                <w:spacing w:val="-6"/>
                <w:sz w:val="21"/>
                <w:szCs w:val="21"/>
                <w:highlight w:val="none"/>
                <w:lang w:val="en-US" w:eastAsia="zh-CN"/>
              </w:rPr>
              <w:t>人身伤害</w:t>
            </w:r>
            <w:r>
              <w:rPr>
                <w:rFonts w:hint="eastAsia" w:ascii="宋体" w:hAnsi="宋体" w:cs="Arial"/>
                <w:spacing w:val="-6"/>
                <w:sz w:val="21"/>
                <w:szCs w:val="21"/>
                <w:highlight w:val="none"/>
                <w:lang w:val="en-US" w:eastAsia="zh-CN"/>
              </w:rPr>
              <w:t>、触电</w:t>
            </w:r>
            <w:r>
              <w:rPr>
                <w:rFonts w:hint="default" w:ascii="宋体" w:hAnsi="宋体" w:eastAsia="宋体" w:cs="Arial"/>
                <w:spacing w:val="-6"/>
                <w:sz w:val="21"/>
                <w:szCs w:val="21"/>
                <w:highlight w:val="none"/>
                <w:lang w:val="en-US" w:eastAsia="zh-CN"/>
              </w:rPr>
              <w:t>、火灾伤害</w:t>
            </w:r>
            <w:r>
              <w:rPr>
                <w:rFonts w:hint="eastAsia" w:ascii="宋体" w:hAnsi="宋体" w:cs="Arial"/>
                <w:spacing w:val="-6"/>
                <w:sz w:val="21"/>
                <w:szCs w:val="21"/>
                <w:highlight w:val="none"/>
                <w:lang w:val="en-US" w:eastAsia="zh-CN"/>
              </w:rPr>
              <w:t>；</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策划了控制措施，制定有管理方案，</w:t>
            </w:r>
            <w:r>
              <w:rPr>
                <w:rFonts w:hint="default" w:ascii="宋体" w:hAnsi="宋体" w:eastAsia="宋体" w:cs="Arial"/>
                <w:spacing w:val="-6"/>
                <w:sz w:val="21"/>
                <w:szCs w:val="21"/>
                <w:lang w:val="en-US" w:eastAsia="zh-CN"/>
              </w:rPr>
              <w:t>一旦发生按相关应急预案执行。</w:t>
            </w:r>
          </w:p>
          <w:p>
            <w:pPr>
              <w:adjustRightInd w:val="0"/>
              <w:snapToGrid w:val="0"/>
              <w:spacing w:line="360" w:lineRule="auto"/>
              <w:ind w:right="120" w:rightChars="50" w:firstLine="396" w:firstLineChars="200"/>
              <w:textAlignment w:val="baseline"/>
              <w:rPr>
                <w:rFonts w:hint="eastAsia" w:ascii="宋体" w:hAnsi="宋体"/>
                <w:b/>
                <w:sz w:val="21"/>
                <w:szCs w:val="21"/>
              </w:rPr>
            </w:pPr>
            <w:r>
              <w:rPr>
                <w:rFonts w:hint="eastAsia" w:ascii="宋体" w:hAnsi="宋体" w:eastAsia="宋体" w:cs="Arial"/>
                <w:spacing w:val="-6"/>
                <w:sz w:val="21"/>
                <w:szCs w:val="21"/>
                <w:lang w:val="en-US" w:eastAsia="zh-CN"/>
              </w:rPr>
              <w:t>为应对相应的风险和机遇，公司依据GB/T19001-2016、GB/T24001-2016、GB/T45001-2020标准的要求并结合本公司的具体情况，采取PDCA的过程方法，建立、实施、保持并持续改进质量、环境、职业健康安全管理体系。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31680" w:hanging="211" w:hangingChars="100"/>
              <w:rPr>
                <w:rFonts w:hint="default" w:ascii="宋体" w:eastAsia="宋体"/>
                <w:b/>
                <w:sz w:val="21"/>
                <w:szCs w:val="21"/>
                <w:lang w:val="en-US" w:eastAsia="zh-CN"/>
              </w:rPr>
            </w:pPr>
            <w:r>
              <w:rPr>
                <w:rFonts w:hint="eastAsia" w:ascii="宋体" w:hAnsi="宋体"/>
                <w:b/>
                <w:sz w:val="21"/>
                <w:szCs w:val="21"/>
              </w:rPr>
              <w:t>质量管理体系过程有：</w:t>
            </w:r>
            <w:r>
              <w:rPr>
                <w:rFonts w:hint="eastAsia" w:ascii="宋体" w:hAnsi="宋体"/>
                <w:b/>
                <w:sz w:val="21"/>
                <w:szCs w:val="21"/>
                <w:lang w:val="en-US" w:eastAsia="zh-CN"/>
              </w:rPr>
              <w:t>剪切、下料、折弯、焊接、打磨、喷塑、组装</w:t>
            </w:r>
          </w:p>
          <w:p>
            <w:pPr>
              <w:tabs>
                <w:tab w:val="left" w:pos="540"/>
              </w:tabs>
              <w:spacing w:line="360" w:lineRule="auto"/>
              <w:ind w:left="31680" w:hanging="211" w:hangingChars="100"/>
              <w:rPr>
                <w:rFonts w:hint="default" w:asci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sz w:val="21"/>
                <w:szCs w:val="21"/>
                <w:lang w:val="en-US" w:eastAsia="zh-CN"/>
              </w:rPr>
              <w:t>焊接、喷塑</w:t>
            </w:r>
          </w:p>
          <w:p>
            <w:pPr>
              <w:tabs>
                <w:tab w:val="left" w:pos="540"/>
              </w:tabs>
              <w:spacing w:line="360" w:lineRule="auto"/>
              <w:ind w:left="31680" w:hanging="211" w:hangingChars="100"/>
              <w:rPr>
                <w:rFonts w:hint="default" w:asci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焊接、喷塑</w:t>
            </w:r>
          </w:p>
          <w:p>
            <w:pPr>
              <w:tabs>
                <w:tab w:val="left" w:pos="540"/>
              </w:tabs>
              <w:spacing w:line="360" w:lineRule="auto"/>
              <w:ind w:left="211" w:hanging="211" w:hangingChars="100"/>
              <w:rPr>
                <w:rFonts w:ascii="宋体" w:hAnsi="宋体"/>
                <w:b/>
                <w:sz w:val="21"/>
                <w:szCs w:val="21"/>
              </w:rPr>
            </w:pPr>
            <w:r>
              <w:rPr>
                <w:rFonts w:hint="eastAsia" w:ascii="宋体" w:hAnsi="宋体" w:eastAsia="宋体" w:cs="宋体"/>
                <w:b/>
                <w:bCs/>
                <w:color w:val="auto"/>
                <w:sz w:val="21"/>
                <w:szCs w:val="21"/>
                <w:lang w:val="en-US" w:eastAsia="zh-CN"/>
              </w:rPr>
              <w:t>删减条款</w:t>
            </w:r>
            <w:r>
              <w:rPr>
                <w:rFonts w:hint="eastAsia" w:ascii="宋体" w:hAnsi="宋体" w:cs="宋体"/>
                <w:b/>
                <w:bCs/>
                <w:color w:val="auto"/>
                <w:sz w:val="21"/>
                <w:szCs w:val="21"/>
                <w:lang w:val="en-US" w:eastAsia="zh-CN"/>
              </w:rPr>
              <w:t xml:space="preserve">  8.3。</w:t>
            </w:r>
            <w:r>
              <w:rPr>
                <w:rFonts w:hint="eastAsia" w:ascii="宋体" w:hAnsi="宋体" w:cs="宋体"/>
                <w:b/>
                <w:bCs/>
                <w:color w:val="auto"/>
                <w:sz w:val="21"/>
                <w:szCs w:val="21"/>
                <w:u w:val="single"/>
                <w:lang w:val="en-US" w:eastAsia="zh-CN"/>
              </w:rPr>
              <w:t>按照企业标准和客户的要求生产，无需设计与开发，且不影响法律法规及企业生产和销售。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编制有《环境因素和危险源识别评价与控制程序》</w:t>
            </w:r>
            <w:r>
              <w:rPr>
                <w:rFonts w:hint="eastAsia" w:ascii="宋体" w:hAnsi="宋体" w:cs="Arial"/>
                <w:spacing w:val="-6"/>
                <w:sz w:val="21"/>
                <w:szCs w:val="21"/>
                <w:lang w:val="en-US" w:eastAsia="zh-CN"/>
              </w:rPr>
              <w:t>；</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重大环境因素：</w:t>
            </w:r>
            <w:r>
              <w:rPr>
                <w:rFonts w:hint="eastAsia" w:ascii="宋体" w:hAnsi="宋体" w:eastAsia="宋体" w:cs="Arial"/>
                <w:color w:val="auto"/>
                <w:spacing w:val="-6"/>
                <w:sz w:val="21"/>
                <w:szCs w:val="21"/>
                <w:lang w:val="en-US" w:eastAsia="zh-CN"/>
              </w:rPr>
              <w:t>噪声排放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烟尘排放、潜在火灾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固废排放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粉尘排放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废气</w:t>
            </w:r>
            <w:r>
              <w:rPr>
                <w:rFonts w:hint="eastAsia" w:ascii="宋体" w:hAnsi="宋体" w:cs="Arial"/>
                <w:spacing w:val="-6"/>
                <w:sz w:val="21"/>
                <w:szCs w:val="21"/>
                <w:lang w:val="en-US" w:eastAsia="zh-CN"/>
              </w:rPr>
              <w:t>；</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策划了控制措施，制定有管理方案，</w:t>
            </w:r>
            <w:r>
              <w:rPr>
                <w:rFonts w:hint="default" w:ascii="宋体" w:hAnsi="宋体" w:eastAsia="宋体" w:cs="Arial"/>
                <w:spacing w:val="-6"/>
                <w:sz w:val="21"/>
                <w:szCs w:val="21"/>
                <w:lang w:val="en-US" w:eastAsia="zh-CN"/>
              </w:rPr>
              <w:t>一旦发生按相关应急预案执行。</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辨识比较充分，评价基本合理，能根据实际情况进行动态调整。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编制有《环境因素和危险源识别评价与控制程序》</w:t>
            </w:r>
            <w:r>
              <w:rPr>
                <w:rFonts w:hint="eastAsia" w:ascii="宋体" w:hAnsi="宋体" w:cs="Arial"/>
                <w:spacing w:val="-6"/>
                <w:sz w:val="21"/>
                <w:szCs w:val="21"/>
                <w:lang w:val="en-US" w:eastAsia="zh-CN"/>
              </w:rPr>
              <w:t>；</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eastAsia="宋体" w:cs="Arial"/>
                <w:spacing w:val="-6"/>
                <w:sz w:val="21"/>
                <w:szCs w:val="21"/>
                <w:highlight w:val="none"/>
                <w:lang w:val="en-US" w:eastAsia="zh-CN"/>
              </w:rPr>
              <w:t>不可接受风险：机械伤害</w:t>
            </w:r>
            <w:r>
              <w:rPr>
                <w:rFonts w:hint="eastAsia" w:ascii="宋体" w:hAnsi="宋体" w:cs="Arial"/>
                <w:spacing w:val="-6"/>
                <w:sz w:val="21"/>
                <w:szCs w:val="21"/>
                <w:highlight w:val="none"/>
                <w:lang w:val="en-US" w:eastAsia="zh-CN"/>
              </w:rPr>
              <w:t>、</w:t>
            </w:r>
            <w:r>
              <w:rPr>
                <w:rFonts w:hint="default" w:ascii="宋体" w:hAnsi="宋体" w:eastAsia="宋体" w:cs="Arial"/>
                <w:spacing w:val="-6"/>
                <w:sz w:val="21"/>
                <w:szCs w:val="21"/>
                <w:highlight w:val="none"/>
                <w:lang w:val="en-US" w:eastAsia="zh-CN"/>
              </w:rPr>
              <w:t>吸入性伤害</w:t>
            </w:r>
            <w:r>
              <w:rPr>
                <w:rFonts w:hint="eastAsia" w:ascii="宋体" w:hAnsi="宋体" w:cs="Arial"/>
                <w:spacing w:val="-6"/>
                <w:sz w:val="21"/>
                <w:szCs w:val="21"/>
                <w:highlight w:val="none"/>
                <w:lang w:val="en-US" w:eastAsia="zh-CN"/>
              </w:rPr>
              <w:t>、</w:t>
            </w:r>
            <w:r>
              <w:rPr>
                <w:rFonts w:hint="default" w:ascii="宋体" w:hAnsi="宋体" w:eastAsia="宋体" w:cs="Arial"/>
                <w:spacing w:val="-6"/>
                <w:sz w:val="21"/>
                <w:szCs w:val="21"/>
                <w:highlight w:val="none"/>
                <w:lang w:val="en-US" w:eastAsia="zh-CN"/>
              </w:rPr>
              <w:t>人身伤害</w:t>
            </w:r>
            <w:r>
              <w:rPr>
                <w:rFonts w:hint="eastAsia" w:ascii="宋体" w:hAnsi="宋体" w:cs="Arial"/>
                <w:spacing w:val="-6"/>
                <w:sz w:val="21"/>
                <w:szCs w:val="21"/>
                <w:highlight w:val="none"/>
                <w:lang w:val="en-US" w:eastAsia="zh-CN"/>
              </w:rPr>
              <w:t>、触电</w:t>
            </w:r>
            <w:r>
              <w:rPr>
                <w:rFonts w:hint="default" w:ascii="宋体" w:hAnsi="宋体" w:eastAsia="宋体" w:cs="Arial"/>
                <w:spacing w:val="-6"/>
                <w:sz w:val="21"/>
                <w:szCs w:val="21"/>
                <w:highlight w:val="none"/>
                <w:lang w:val="en-US" w:eastAsia="zh-CN"/>
              </w:rPr>
              <w:t>、火灾伤害</w:t>
            </w:r>
            <w:r>
              <w:rPr>
                <w:rFonts w:hint="eastAsia" w:ascii="宋体" w:hAnsi="宋体" w:cs="Arial"/>
                <w:spacing w:val="-6"/>
                <w:sz w:val="21"/>
                <w:szCs w:val="21"/>
                <w:highlight w:val="none"/>
                <w:lang w:val="en-US" w:eastAsia="zh-CN"/>
              </w:rPr>
              <w:t>；</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策划了控制措施，制定有管理方案，</w:t>
            </w:r>
            <w:r>
              <w:rPr>
                <w:rFonts w:hint="default" w:ascii="宋体" w:hAnsi="宋体" w:eastAsia="宋体" w:cs="Arial"/>
                <w:spacing w:val="-6"/>
                <w:sz w:val="21"/>
                <w:szCs w:val="21"/>
                <w:lang w:val="en-US" w:eastAsia="zh-CN"/>
              </w:rPr>
              <w:t>一旦发生按相关应急预案执行。</w:t>
            </w:r>
          </w:p>
          <w:p>
            <w:pPr>
              <w:adjustRightInd w:val="0"/>
              <w:snapToGrid w:val="0"/>
              <w:spacing w:line="360" w:lineRule="auto"/>
              <w:ind w:right="120" w:rightChars="50" w:firstLine="396" w:firstLineChars="200"/>
              <w:textAlignment w:val="baseline"/>
              <w:rPr>
                <w:rFonts w:hint="eastAsia" w:ascii="宋体" w:hAnsi="宋体"/>
                <w:b/>
                <w:sz w:val="21"/>
                <w:szCs w:val="21"/>
              </w:rPr>
            </w:pPr>
            <w:r>
              <w:rPr>
                <w:rFonts w:hint="eastAsia" w:ascii="宋体" w:hAnsi="宋体" w:eastAsia="宋体" w:cs="Arial"/>
                <w:spacing w:val="-6"/>
                <w:sz w:val="21"/>
                <w:szCs w:val="21"/>
                <w:lang w:val="en-US" w:eastAsia="zh-CN"/>
              </w:rPr>
              <w:t>辨识比较充分，评价基本合理，能根据实际情况进行动态调整。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60" w:lineRule="auto"/>
              <w:ind w:left="211" w:hanging="211" w:hangingChars="100"/>
              <w:rPr>
                <w:rFonts w:ascii="宋体" w:hAnsi="宋体"/>
                <w:b/>
                <w:sz w:val="21"/>
                <w:szCs w:val="21"/>
              </w:rPr>
            </w:pPr>
          </w:p>
          <w:p>
            <w:pPr>
              <w:pStyle w:val="16"/>
              <w:numPr>
                <w:ilvl w:val="0"/>
                <w:numId w:val="1"/>
              </w:numPr>
              <w:tabs>
                <w:tab w:val="left" w:pos="540"/>
              </w:tabs>
              <w:spacing w:line="360" w:lineRule="auto"/>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6"/>
              <w:numPr>
                <w:ilvl w:val="0"/>
                <w:numId w:val="1"/>
              </w:numPr>
              <w:tabs>
                <w:tab w:val="left" w:pos="540"/>
              </w:tabs>
              <w:spacing w:line="360" w:lineRule="auto"/>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6"/>
              <w:numPr>
                <w:ilvl w:val="0"/>
                <w:numId w:val="1"/>
              </w:numPr>
              <w:tabs>
                <w:tab w:val="left" w:pos="540"/>
              </w:tabs>
              <w:spacing w:line="360" w:lineRule="auto"/>
              <w:ind w:firstLineChars="0"/>
              <w:rPr>
                <w:rFonts w:ascii="宋体" w:hAnsi="宋体"/>
                <w:b/>
                <w:szCs w:val="21"/>
              </w:rPr>
            </w:pPr>
            <w:r>
              <w:rPr>
                <w:rFonts w:hint="eastAsia" w:ascii="宋体" w:hAnsi="宋体"/>
                <w:b/>
                <w:szCs w:val="21"/>
              </w:rPr>
              <w:t>法律法规的宣传方式：</w:t>
            </w:r>
          </w:p>
          <w:p>
            <w:pPr>
              <w:pStyle w:val="16"/>
              <w:numPr>
                <w:ilvl w:val="0"/>
                <w:numId w:val="1"/>
              </w:numPr>
              <w:tabs>
                <w:tab w:val="left" w:pos="540"/>
              </w:tabs>
              <w:spacing w:line="360" w:lineRule="auto"/>
              <w:ind w:firstLineChars="0"/>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以方针为框架，建立了公司管理目标：</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质量目标：</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产品出厂合格率100%；</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顾客满意度≥95分 ；</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环保安全目标：</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固体废弃物分类处置率100%；</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火灾事故发生率为0；</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职业病发生率为0；</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员工重大伤亡率为0；</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对重要</w:t>
            </w:r>
            <w:r>
              <w:rPr>
                <w:rFonts w:hint="eastAsia" w:ascii="宋体" w:hAnsi="宋体" w:cs="Arial"/>
                <w:spacing w:val="-6"/>
                <w:sz w:val="21"/>
                <w:szCs w:val="21"/>
                <w:lang w:val="en-US" w:eastAsia="zh-CN"/>
              </w:rPr>
              <w:t>环境因素和不可接受风险</w:t>
            </w:r>
            <w:r>
              <w:rPr>
                <w:rFonts w:hint="eastAsia" w:ascii="宋体" w:hAnsi="宋体" w:eastAsia="宋体" w:cs="Arial"/>
                <w:color w:val="auto"/>
                <w:spacing w:val="-6"/>
                <w:sz w:val="21"/>
                <w:szCs w:val="21"/>
                <w:lang w:val="en-US" w:eastAsia="zh-CN"/>
              </w:rPr>
              <w:t>建立了管理方案，明确了控制措施、责任部门、责任人；</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2020.12，考核均已全部完成。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策划了公司的管理体系文件，包括：</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《管理手册》A/0版，管理体系于2019年10月10日建立并正式实施。</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另程序文件26个，版本号：A/0，2019年10月10日实施；</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作业指导书、操作规程：下料(剪板)作业指导书、冲压作业指导书、折弯作业指导书、、点焊机作业指导书、二保焊作业指导书、喷涂作业指导书、剪板机操作规程、冲床操作规程、折弯机操作规程等；</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建立有外来文件清单，收集法律法规和技术标准、规范等7个；</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建立环境、职业健康安全法律法规和其他要求清单，共105个。</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以上文件无变化。</w:t>
            </w:r>
            <w:r>
              <w:rPr>
                <w:rFonts w:hint="eastAsia" w:ascii="宋体" w:hAnsi="宋体" w:eastAsia="宋体" w:cs="Arial"/>
                <w:color w:val="auto"/>
                <w:spacing w:val="-6"/>
                <w:sz w:val="21"/>
                <w:szCs w:val="21"/>
                <w:lang w:val="en-US" w:eastAsia="zh-CN"/>
              </w:rPr>
              <w:t>文件化管理体系目前基本满足要求。</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——在编制体系文件时，对文件进行标识，主要有文件名称/编制部门/批准日期/文件编号等，经查管理手册/程序文件基本符合标准要求。</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管理体系文件经过总经理审批实施发布，经评审，目前文件和目录均适用。符合要求。</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——编制《文件化信息管理控制程序》，内容符合基本标准要求。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720" w:type="dxa"/>
            <w:vMerge w:val="restart"/>
            <w:textDirection w:val="tbRlV"/>
            <w:vAlign w:val="center"/>
          </w:tcPr>
          <w:p>
            <w:pPr>
              <w:spacing w:line="360" w:lineRule="auto"/>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ind w:firstLine="396" w:firstLineChars="200"/>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公司现有人员45人，管理人员、技术人员和操作员工等，能力能够胜任本职工作。</w:t>
            </w:r>
          </w:p>
          <w:p>
            <w:pPr>
              <w:spacing w:line="360" w:lineRule="auto"/>
              <w:ind w:firstLine="396" w:firstLineChars="200"/>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胡</w:t>
            </w:r>
            <w:r>
              <w:rPr>
                <w:rFonts w:hint="eastAsia" w:ascii="宋体" w:hAnsi="宋体" w:cs="Arial"/>
                <w:color w:val="auto"/>
                <w:spacing w:val="-6"/>
                <w:sz w:val="21"/>
                <w:szCs w:val="21"/>
                <w:lang w:val="en-US" w:eastAsia="zh-CN"/>
              </w:rPr>
              <w:t>庆春</w:t>
            </w:r>
            <w:r>
              <w:rPr>
                <w:rFonts w:hint="eastAsia" w:ascii="宋体" w:hAnsi="宋体" w:eastAsia="宋体" w:cs="Arial"/>
                <w:color w:val="auto"/>
                <w:spacing w:val="-6"/>
                <w:sz w:val="21"/>
                <w:szCs w:val="21"/>
                <w:lang w:val="en-US" w:eastAsia="zh-CN"/>
              </w:rPr>
              <w:t>总经理——企业主要负责人安全培训合格证书</w:t>
            </w:r>
          </w:p>
          <w:p>
            <w:pPr>
              <w:spacing w:line="360" w:lineRule="auto"/>
              <w:ind w:firstLine="396" w:firstLineChars="200"/>
              <w:rPr>
                <w:rFonts w:hint="default" w:ascii="宋体" w:hAnsi="宋体" w:eastAsia="宋体"/>
                <w:b/>
                <w:sz w:val="21"/>
                <w:szCs w:val="21"/>
                <w:lang w:val="en-US" w:eastAsia="zh-CN"/>
              </w:rPr>
            </w:pPr>
            <w:r>
              <w:rPr>
                <w:rFonts w:hint="eastAsia" w:ascii="宋体" w:hAnsi="宋体" w:eastAsia="宋体" w:cs="Arial"/>
                <w:color w:val="auto"/>
                <w:spacing w:val="-6"/>
                <w:sz w:val="21"/>
                <w:szCs w:val="21"/>
                <w:lang w:val="en-US" w:eastAsia="zh-CN"/>
              </w:rPr>
              <w:t>特种作业人员持上岗，证书有效。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cs="Arial"/>
                <w:spacing w:val="-6"/>
                <w:sz w:val="21"/>
                <w:szCs w:val="21"/>
                <w:highlight w:val="none"/>
                <w:lang w:val="en-US" w:eastAsia="zh-CN"/>
              </w:rPr>
              <w:t>拥有</w:t>
            </w:r>
            <w:r>
              <w:rPr>
                <w:rFonts w:hint="eastAsia" w:ascii="宋体" w:hAnsi="宋体" w:cs="Arial"/>
                <w:spacing w:val="-6"/>
                <w:sz w:val="21"/>
                <w:szCs w:val="21"/>
                <w:highlight w:val="none"/>
              </w:rPr>
              <w:t>剪板机、数控等离子、数控冲压机、空压机、冲床、折弯机、电焊（氩弧焊机）、CO2气体保护焊机、台式钻床</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lang w:val="en-US" w:eastAsia="zh-CN"/>
              </w:rPr>
              <w:t>起重机、储气罐、污水处理装置、</w:t>
            </w:r>
            <w:r>
              <w:rPr>
                <w:rFonts w:hint="eastAsia" w:ascii="宋体" w:hAnsi="宋体" w:eastAsia="宋体" w:cs="Arial"/>
                <w:spacing w:val="-6"/>
                <w:sz w:val="21"/>
                <w:szCs w:val="21"/>
                <w:highlight w:val="none"/>
                <w:lang w:val="en-US" w:eastAsia="zh-CN"/>
              </w:rPr>
              <w:t>除尘装置等设备，一般设备正常保</w:t>
            </w:r>
            <w:r>
              <w:rPr>
                <w:rFonts w:hint="eastAsia" w:ascii="宋体" w:hAnsi="宋体" w:cs="Arial"/>
                <w:spacing w:val="-6"/>
                <w:sz w:val="21"/>
                <w:szCs w:val="21"/>
                <w:lang w:val="en-US" w:eastAsia="zh-CN"/>
              </w:rPr>
              <w:t>养，特种设备按期进行检定校准；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pStyle w:val="7"/>
              <w:spacing w:line="360" w:lineRule="auto"/>
              <w:ind w:firstLine="31680"/>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7"/>
              <w:spacing w:line="360" w:lineRule="auto"/>
              <w:ind w:firstLine="31680"/>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经与主管人员交谈，其对本部门在本条款管理中的职责、分工和接口关系清楚掌握，基本符合文件要求。</w:t>
            </w:r>
          </w:p>
          <w:p>
            <w:pPr>
              <w:pStyle w:val="7"/>
              <w:spacing w:line="360" w:lineRule="auto"/>
              <w:ind w:firstLine="31680"/>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公司定期举行旅游活动、体检，带薪休假等，已缓解员工的心理压力、过度疲劳等。</w:t>
            </w:r>
          </w:p>
          <w:p>
            <w:pPr>
              <w:spacing w:line="360" w:lineRule="auto"/>
              <w:rPr>
                <w:rFonts w:ascii="宋体" w:hAnsi="宋体"/>
                <w:b/>
                <w:sz w:val="21"/>
                <w:szCs w:val="21"/>
              </w:rPr>
            </w:pPr>
            <w:r>
              <w:rPr>
                <w:rFonts w:hint="eastAsia" w:ascii="宋体" w:hAnsi="宋体" w:eastAsia="宋体" w:cs="Arial"/>
                <w:color w:val="auto"/>
                <w:spacing w:val="-6"/>
                <w:kern w:val="2"/>
                <w:sz w:val="21"/>
                <w:szCs w:val="21"/>
                <w:highlight w:val="none"/>
                <w:lang w:val="en-US" w:eastAsia="zh-CN" w:bidi="ar-SA"/>
              </w:rPr>
              <w:t>公司现场观察，公司办公场所和生产场所均环境良好，满足办公需要，无特殊环境要求。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rPr>
              <w:t>监视和测量资源</w:t>
            </w:r>
          </w:p>
          <w:p>
            <w:pPr>
              <w:pStyle w:val="2"/>
              <w:spacing w:line="360" w:lineRule="auto"/>
            </w:pPr>
            <w:r>
              <w:rPr>
                <w:rFonts w:hint="eastAsia" w:ascii="宋体" w:hAnsi="宋体" w:cs="Arial"/>
                <w:spacing w:val="-6"/>
                <w:sz w:val="21"/>
                <w:szCs w:val="21"/>
                <w:lang w:val="en-US" w:eastAsia="zh-CN"/>
              </w:rPr>
              <w:t>电子吊秤、涂层厚度仪、游标卡尺等计量设备，按期进行检定校准；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从内部来源获取的有：多年的工作经验、教训、内部的知识产权等；</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外部来源获取有：标杆对比、行业会议、客户技术要求、咨询老师传授的体系知识及所实施的内审员的培训；顾客方提供的资料等。</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在应对变化的需求和趋势时，相关部门考虑现有的知识，确定如何获取更多的必要的额外知识，并根据变化的情况及时更新。</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highlight w:val="none"/>
                <w:lang w:val="en-US" w:eastAsia="zh-CN"/>
              </w:rPr>
              <w:t>保持发明专利、外观专利、实用新型专利等各项专利36项。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rPr>
              <w:t>环保设施：</w:t>
            </w:r>
          </w:p>
          <w:p>
            <w:pPr>
              <w:pStyle w:val="2"/>
              <w:spacing w:line="360" w:lineRule="auto"/>
              <w:rPr>
                <w:rFonts w:hint="default" w:eastAsia="宋体"/>
                <w:lang w:val="en-US" w:eastAsia="zh-CN"/>
              </w:rPr>
            </w:pPr>
            <w:r>
              <w:rPr>
                <w:rFonts w:hint="eastAsia" w:ascii="宋体" w:hAnsi="宋体" w:eastAsia="宋体" w:cs="Arial"/>
                <w:color w:val="auto"/>
                <w:spacing w:val="-6"/>
                <w:kern w:val="2"/>
                <w:sz w:val="21"/>
                <w:szCs w:val="21"/>
                <w:lang w:val="en-US" w:eastAsia="zh-CN" w:bidi="ar-SA"/>
              </w:rPr>
              <w:t>消防器材、污水处理装置、除尘装置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rPr>
              <w:t>职业健康安全设施：</w:t>
            </w:r>
          </w:p>
          <w:p>
            <w:pPr>
              <w:pStyle w:val="2"/>
              <w:spacing w:line="360" w:lineRule="auto"/>
              <w:rPr>
                <w:rFonts w:hint="default" w:eastAsia="宋体"/>
                <w:lang w:val="en-US" w:eastAsia="zh-CN"/>
              </w:rPr>
            </w:pPr>
            <w:r>
              <w:rPr>
                <w:rFonts w:hint="eastAsia" w:ascii="宋体" w:hAnsi="宋体" w:eastAsia="宋体" w:cs="Arial"/>
                <w:color w:val="auto"/>
                <w:spacing w:val="-6"/>
                <w:kern w:val="2"/>
                <w:sz w:val="21"/>
                <w:szCs w:val="21"/>
                <w:lang w:val="en-US" w:eastAsia="zh-CN" w:bidi="ar-SA"/>
              </w:rPr>
              <w:t>消防器材、标识牌、个体防护用品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720" w:type="dxa"/>
            <w:vMerge w:val="restart"/>
            <w:textDirection w:val="tbRlV"/>
            <w:vAlign w:val="center"/>
          </w:tcPr>
          <w:p>
            <w:pPr>
              <w:spacing w:line="360" w:lineRule="auto"/>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rPr>
              <w:t>1. 针对方针的管理职责评审</w:t>
            </w:r>
          </w:p>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rPr>
              <w:t>（包括针对组织宗旨，制定相关管理方针政策、确保方针为员工理解并在运营中实施，监视方针的实施并评审方针的适宜性）</w:t>
            </w:r>
          </w:p>
          <w:p>
            <w:pPr>
              <w:pStyle w:val="2"/>
              <w:spacing w:line="360" w:lineRule="auto"/>
            </w:pPr>
            <w:r>
              <w:rPr>
                <w:rFonts w:hint="eastAsia" w:ascii="宋体" w:hAnsi="宋体" w:eastAsia="宋体" w:cs="Arial"/>
                <w:color w:val="auto"/>
                <w:spacing w:val="-6"/>
                <w:kern w:val="2"/>
                <w:sz w:val="21"/>
                <w:szCs w:val="21"/>
                <w:lang w:val="en-US" w:eastAsia="zh-CN" w:bidi="ar-SA"/>
              </w:rPr>
              <w:t>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ascii="宋体" w:hAnsi="宋体"/>
                <w:b/>
                <w:sz w:val="21"/>
                <w:szCs w:val="21"/>
              </w:rPr>
            </w:pPr>
          </w:p>
          <w:p>
            <w:pPr>
              <w:spacing w:line="360" w:lineRule="auto"/>
              <w:rPr>
                <w:rFonts w:hint="eastAsia"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内部沟通的情况：内部沟通方式：借助于会议、电话、口头交流等方式使全体员工达到沟通和理解</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内部沟通的效果：有效。</w:t>
            </w:r>
          </w:p>
          <w:p>
            <w:pPr>
              <w:spacing w:line="360" w:lineRule="auto"/>
              <w:rPr>
                <w:rFonts w:ascii="楷体_GB2312" w:eastAsia="楷体_GB2312"/>
                <w:b/>
                <w:color w:val="000000" w:themeColor="text1"/>
                <w:sz w:val="20"/>
                <w:szCs w:val="20"/>
              </w:rPr>
            </w:pP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组织对外联络，关注顾客的感受情况（QMS）：顾客满意度评价、合同等</w:t>
            </w:r>
          </w:p>
          <w:p>
            <w:pPr>
              <w:spacing w:line="360" w:lineRule="auto"/>
              <w:rPr>
                <w:rFonts w:ascii="楷体_GB2312" w:eastAsia="楷体_GB2312"/>
                <w:b/>
                <w:color w:val="000000" w:themeColor="text1"/>
                <w:sz w:val="20"/>
                <w:szCs w:val="20"/>
              </w:rPr>
            </w:pPr>
          </w:p>
          <w:p>
            <w:pPr>
              <w:spacing w:line="360" w:lineRule="auto"/>
              <w:rPr>
                <w:rFonts w:hint="eastAsia"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行政部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360" w:lineRule="auto"/>
              <w:rPr>
                <w:rFonts w:ascii="楷体_GB2312" w:eastAsia="楷体_GB2312"/>
                <w:b/>
                <w:color w:val="000000" w:themeColor="text1"/>
                <w:sz w:val="20"/>
                <w:szCs w:val="20"/>
              </w:rPr>
            </w:pPr>
          </w:p>
          <w:p>
            <w:pPr>
              <w:spacing w:line="360" w:lineRule="auto"/>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重要环境因素信息对外交流情况（EMS填写）：</w:t>
            </w:r>
            <w:r>
              <w:rPr>
                <w:rFonts w:hint="eastAsia" w:ascii="楷体_GB2312" w:eastAsia="楷体_GB2312"/>
                <w:b/>
                <w:color w:val="000000" w:themeColor="text1"/>
                <w:sz w:val="20"/>
                <w:szCs w:val="20"/>
                <w:lang w:val="en-US" w:eastAsia="zh-CN"/>
              </w:rPr>
              <w:t>文件传递</w:t>
            </w:r>
          </w:p>
          <w:p>
            <w:pPr>
              <w:spacing w:line="360" w:lineRule="auto"/>
              <w:rPr>
                <w:rFonts w:ascii="楷体_GB2312" w:eastAsia="楷体_GB2312"/>
                <w:b/>
                <w:color w:val="000000" w:themeColor="text1"/>
                <w:sz w:val="20"/>
                <w:szCs w:val="20"/>
              </w:rPr>
            </w:pP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OHSMS事务代表协商和交流的情况（OHSMS填写）：确定职业健康安全事务代表是钟佛玲，参与公司的职业健康安全事务。相关人员能够适当参与并协商办理公司经营管理及安全事务等工作。</w:t>
            </w:r>
          </w:p>
          <w:p>
            <w:pPr>
              <w:spacing w:line="360" w:lineRule="auto"/>
              <w:rPr>
                <w:rFonts w:ascii="楷体_GB2312" w:eastAsia="楷体_GB2312"/>
                <w:b/>
                <w:color w:val="000000" w:themeColor="text1"/>
                <w:szCs w:val="21"/>
              </w:rPr>
            </w:pPr>
          </w:p>
          <w:p>
            <w:pPr>
              <w:spacing w:line="360" w:lineRule="auto"/>
              <w:rPr>
                <w:rFonts w:hint="eastAsia" w:ascii="宋体" w:hAnsi="宋体" w:eastAsia="楷体_GB2312"/>
                <w:b/>
                <w:sz w:val="21"/>
                <w:szCs w:val="21"/>
                <w:lang w:eastAsia="zh-CN"/>
              </w:rPr>
            </w:pPr>
            <w:r>
              <w:rPr>
                <w:rFonts w:hint="eastAsia" w:ascii="楷体_GB2312" w:eastAsia="楷体_GB2312"/>
                <w:b/>
                <w:color w:val="000000" w:themeColor="text1"/>
                <w:szCs w:val="21"/>
              </w:rPr>
              <w:t>与相关方协商的情况（OHSMS填写）：与相关方就有关职业健康安全事务进行协商</w:t>
            </w:r>
            <w:r>
              <w:rPr>
                <w:rFonts w:hint="eastAsia" w:ascii="楷体_GB2312" w:eastAsia="楷体_GB2312"/>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ind w:firstLine="396" w:firstLineChars="200"/>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公司依据客户订单，下达生产计划，接到定单后召开生产会议，进行生产、质量及管理工作协调。</w:t>
            </w:r>
          </w:p>
          <w:p>
            <w:pPr>
              <w:spacing w:line="360" w:lineRule="auto"/>
              <w:ind w:firstLine="396" w:firstLineChars="200"/>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通过原材料检验、过程检验、成品检验等过程对产品质量、生产进度等进行监控。</w:t>
            </w:r>
          </w:p>
          <w:p>
            <w:pPr>
              <w:spacing w:line="360" w:lineRule="auto"/>
              <w:ind w:firstLine="396" w:firstLineChars="200"/>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为生产过程提供了适宜的设备及环境，配备了胜任的人员。</w:t>
            </w:r>
          </w:p>
          <w:p>
            <w:pPr>
              <w:spacing w:line="360" w:lineRule="auto"/>
              <w:ind w:firstLine="396" w:firstLineChars="200"/>
              <w:rPr>
                <w:rFonts w:ascii="宋体" w:hAnsi="宋体"/>
                <w:b/>
                <w:sz w:val="21"/>
                <w:szCs w:val="21"/>
              </w:rPr>
            </w:pPr>
            <w:r>
              <w:rPr>
                <w:rFonts w:hint="eastAsia" w:ascii="宋体" w:hAnsi="宋体" w:eastAsia="宋体" w:cs="Arial"/>
                <w:color w:val="auto"/>
                <w:spacing w:val="-6"/>
                <w:kern w:val="2"/>
                <w:sz w:val="21"/>
                <w:szCs w:val="21"/>
                <w:lang w:val="en-US" w:eastAsia="zh-CN" w:bidi="ar-SA"/>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jc w:val="left"/>
              <w:rPr>
                <w:rFonts w:ascii="宋体" w:hAnsi="宋体"/>
                <w:b/>
                <w:sz w:val="21"/>
                <w:szCs w:val="21"/>
                <w:highlight w:val="none"/>
              </w:rPr>
            </w:pPr>
            <w:r>
              <w:rPr>
                <w:rFonts w:ascii="宋体" w:hAnsi="宋体"/>
                <w:b/>
                <w:sz w:val="21"/>
                <w:szCs w:val="21"/>
                <w:highlight w:val="none"/>
              </w:rPr>
              <w:t>4.QMS</w:t>
            </w:r>
            <w:r>
              <w:rPr>
                <w:rFonts w:hint="eastAsia" w:ascii="宋体" w:hAnsi="宋体"/>
                <w:b/>
                <w:sz w:val="21"/>
                <w:szCs w:val="21"/>
                <w:highlight w:val="none"/>
              </w:rPr>
              <w:t>/</w:t>
            </w:r>
            <w:r>
              <w:rPr>
                <w:rFonts w:hint="eastAsia" w:ascii="宋体" w:hAnsi="宋体"/>
                <w:b/>
                <w:szCs w:val="21"/>
                <w:highlight w:val="none"/>
              </w:rPr>
              <w:t>□50430</w:t>
            </w:r>
            <w:r>
              <w:rPr>
                <w:rFonts w:hint="eastAsia" w:ascii="宋体" w:hAnsi="宋体"/>
                <w:b/>
                <w:sz w:val="21"/>
                <w:szCs w:val="21"/>
                <w:highlight w:val="none"/>
              </w:rPr>
              <w:t>产品</w:t>
            </w:r>
            <w:r>
              <w:rPr>
                <w:rFonts w:ascii="宋体" w:hAnsi="宋体"/>
                <w:b/>
                <w:sz w:val="21"/>
                <w:szCs w:val="21"/>
                <w:highlight w:val="none"/>
              </w:rPr>
              <w:t>/</w:t>
            </w:r>
            <w:r>
              <w:rPr>
                <w:rFonts w:hint="eastAsia" w:ascii="宋体" w:hAnsi="宋体"/>
                <w:b/>
                <w:sz w:val="21"/>
                <w:szCs w:val="21"/>
                <w:highlight w:val="none"/>
              </w:rPr>
              <w:t>服务的标准、协议</w:t>
            </w:r>
            <w:r>
              <w:rPr>
                <w:rFonts w:ascii="宋体" w:hAnsi="宋体"/>
                <w:b/>
                <w:sz w:val="21"/>
                <w:szCs w:val="21"/>
                <w:highlight w:val="none"/>
              </w:rPr>
              <w:t>/</w:t>
            </w:r>
            <w:r>
              <w:rPr>
                <w:rFonts w:hint="eastAsia" w:ascii="宋体" w:hAnsi="宋体"/>
                <w:b/>
                <w:sz w:val="21"/>
                <w:szCs w:val="21"/>
                <w:highlight w:val="none"/>
              </w:rPr>
              <w:t>规范的有效性以及产品</w:t>
            </w:r>
            <w:r>
              <w:rPr>
                <w:rFonts w:ascii="宋体" w:hAnsi="宋体"/>
                <w:b/>
                <w:sz w:val="21"/>
                <w:szCs w:val="21"/>
                <w:highlight w:val="none"/>
              </w:rPr>
              <w:t>/</w:t>
            </w:r>
            <w:r>
              <w:rPr>
                <w:rFonts w:hint="eastAsia" w:ascii="宋体" w:hAnsi="宋体"/>
                <w:b/>
                <w:sz w:val="21"/>
                <w:szCs w:val="21"/>
                <w:highlight w:val="none"/>
              </w:rPr>
              <w:t>服务质量符合要求，向顾客稳定提供合格产品的情况；</w:t>
            </w:r>
          </w:p>
          <w:p>
            <w:pPr>
              <w:spacing w:line="360" w:lineRule="auto"/>
              <w:ind w:firstLine="396" w:firstLineChars="200"/>
              <w:rPr>
                <w:rFonts w:hint="eastAsia" w:ascii="宋体" w:hAnsi="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公司生产、检验相关标准：参考国家/行业标准：金属家具通用技术条件GB/T3325-2017，制订了企业标准：Q/XST004-2014《公共自行车停车棚》、Q/XST003-2014《公共自行车服务智能设备管理柜》等</w:t>
            </w:r>
            <w:r>
              <w:rPr>
                <w:rFonts w:hint="eastAsia" w:ascii="宋体" w:hAnsi="宋体" w:cs="Arial"/>
                <w:color w:val="auto"/>
                <w:spacing w:val="-6"/>
                <w:kern w:val="2"/>
                <w:sz w:val="21"/>
                <w:szCs w:val="21"/>
                <w:lang w:val="en-US" w:eastAsia="zh-CN" w:bidi="ar-SA"/>
              </w:rPr>
              <w:t>；</w:t>
            </w:r>
          </w:p>
          <w:p>
            <w:pPr>
              <w:spacing w:line="360" w:lineRule="auto"/>
              <w:ind w:firstLine="396" w:firstLineChars="200"/>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公司编制了《生产工序作业指导书》、《过程检验规程》等指导产品生产和确定产品的接收；明确了质量目标和相关的产品特性要求：产品出厂合格率100%；客户满意度大于95分，根据客户技术要求进行生产和服务的提供。</w:t>
            </w:r>
          </w:p>
          <w:p>
            <w:pPr>
              <w:spacing w:line="360" w:lineRule="auto"/>
              <w:ind w:firstLine="396" w:firstLineChars="200"/>
              <w:rPr>
                <w:rFonts w:ascii="宋体" w:hAnsi="宋体"/>
                <w:b/>
                <w:sz w:val="21"/>
                <w:szCs w:val="21"/>
              </w:rPr>
            </w:pPr>
            <w:r>
              <w:rPr>
                <w:rFonts w:hint="eastAsia" w:ascii="宋体" w:hAnsi="宋体" w:eastAsia="宋体" w:cs="Arial"/>
                <w:color w:val="auto"/>
                <w:spacing w:val="-6"/>
                <w:kern w:val="2"/>
                <w:sz w:val="21"/>
                <w:szCs w:val="21"/>
                <w:lang w:val="en-US" w:eastAsia="zh-CN" w:bidi="ar-SA"/>
              </w:rPr>
              <w:t>产品原材料和成品经过检验，质量满足顾客要求。</w:t>
            </w:r>
          </w:p>
          <w:p>
            <w:pPr>
              <w:spacing w:line="360" w:lineRule="auto"/>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60" w:lineRule="auto"/>
              <w:ind w:firstLine="396" w:firstLineChars="200"/>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未发生。</w:t>
            </w:r>
          </w:p>
          <w:p>
            <w:pPr>
              <w:spacing w:line="360" w:lineRule="auto"/>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ind w:firstLine="396" w:firstLineChars="200"/>
              <w:rPr>
                <w:rFonts w:ascii="宋体" w:hAnsi="宋体"/>
                <w:b/>
                <w:sz w:val="21"/>
                <w:szCs w:val="21"/>
              </w:rPr>
            </w:pPr>
            <w:r>
              <w:rPr>
                <w:rFonts w:hint="eastAsia" w:ascii="宋体" w:hAnsi="宋体" w:eastAsia="宋体" w:cs="Arial"/>
                <w:color w:val="auto"/>
                <w:spacing w:val="-6"/>
                <w:kern w:val="2"/>
                <w:sz w:val="21"/>
                <w:szCs w:val="21"/>
                <w:lang w:val="en-US" w:eastAsia="zh-CN" w:bidi="ar-SA"/>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highlight w:val="none"/>
              </w:rPr>
            </w:pPr>
            <w:r>
              <w:rPr>
                <w:rFonts w:ascii="宋体" w:hAnsi="宋体"/>
                <w:b/>
                <w:sz w:val="21"/>
                <w:szCs w:val="21"/>
                <w:highlight w:val="none"/>
              </w:rPr>
              <w:t>7. EMS</w:t>
            </w:r>
            <w:r>
              <w:rPr>
                <w:rFonts w:hint="eastAsia" w:ascii="宋体" w:hAnsi="宋体"/>
                <w:b/>
                <w:sz w:val="21"/>
                <w:szCs w:val="21"/>
                <w:highlight w:val="none"/>
              </w:rPr>
              <w:t>组织对重要环境因素实施控制的结果</w:t>
            </w:r>
          </w:p>
          <w:p>
            <w:pPr>
              <w:spacing w:line="360" w:lineRule="auto"/>
              <w:rPr>
                <w:rFonts w:ascii="宋体" w:hAnsi="宋体"/>
                <w:b/>
                <w:sz w:val="21"/>
                <w:szCs w:val="21"/>
                <w:highlight w:val="none"/>
              </w:rPr>
            </w:pPr>
            <w:r>
              <w:rPr>
                <w:rFonts w:hint="eastAsia" w:ascii="宋体" w:hAnsi="宋体"/>
                <w:b/>
                <w:sz w:val="21"/>
                <w:szCs w:val="21"/>
                <w:highlight w:val="none"/>
              </w:rPr>
              <w:t>（</w:t>
            </w:r>
            <w:r>
              <w:rPr>
                <w:rFonts w:ascii="宋体" w:hAnsi="宋体"/>
                <w:b/>
                <w:sz w:val="21"/>
                <w:szCs w:val="21"/>
                <w:highlight w:val="none"/>
              </w:rPr>
              <w:t>EMS</w:t>
            </w:r>
            <w:r>
              <w:rPr>
                <w:rFonts w:hint="eastAsia" w:ascii="宋体" w:hAnsi="宋体"/>
                <w:b/>
                <w:sz w:val="21"/>
                <w:szCs w:val="21"/>
                <w:highlight w:val="none"/>
              </w:rPr>
              <w:t>对重要环境因素控制，重大环境因素对周边环境产生的影响及控制</w:t>
            </w:r>
            <w:r>
              <w:rPr>
                <w:rFonts w:ascii="宋体" w:hAnsi="宋体"/>
                <w:b/>
                <w:sz w:val="21"/>
                <w:szCs w:val="21"/>
                <w:highlight w:val="none"/>
              </w:rPr>
              <w:t>;</w:t>
            </w:r>
            <w:r>
              <w:rPr>
                <w:rFonts w:hint="eastAsia" w:ascii="宋体" w:hAnsi="宋体"/>
                <w:b/>
                <w:sz w:val="21"/>
                <w:szCs w:val="21"/>
                <w:highlight w:val="none"/>
              </w:rPr>
              <w:t>对相关方施加影响）</w:t>
            </w:r>
          </w:p>
          <w:p>
            <w:pPr>
              <w:spacing w:line="360" w:lineRule="auto"/>
              <w:ind w:firstLine="396" w:firstLineChars="200"/>
              <w:rPr>
                <w:rFonts w:ascii="宋体" w:hAnsi="宋体"/>
                <w:b/>
                <w:sz w:val="21"/>
                <w:szCs w:val="21"/>
                <w:highlight w:val="none"/>
              </w:rPr>
            </w:pPr>
            <w:r>
              <w:rPr>
                <w:rFonts w:hint="eastAsia" w:ascii="宋体" w:hAnsi="宋体" w:eastAsia="宋体" w:cs="Arial"/>
                <w:color w:val="auto"/>
                <w:spacing w:val="-6"/>
                <w:kern w:val="2"/>
                <w:sz w:val="21"/>
                <w:szCs w:val="21"/>
                <w:highlight w:val="none"/>
                <w:lang w:val="en-US" w:eastAsia="zh-CN" w:bidi="ar-SA"/>
              </w:rPr>
              <w:t>公司重要环境因素噪声排放、烟尘排放、潜在火灾、固废排放、粉尘排放、废气控制有效，未对周边环境和相关方产生任何影响。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8. OHSMS组织对不可接受风险实施控制的结果</w:t>
            </w:r>
          </w:p>
          <w:p>
            <w:pPr>
              <w:pStyle w:val="2"/>
              <w:rPr>
                <w:highlight w:val="none"/>
              </w:rPr>
            </w:pPr>
            <w:r>
              <w:rPr>
                <w:rFonts w:hint="eastAsia" w:ascii="宋体" w:hAnsi="宋体" w:eastAsia="宋体" w:cs="Arial"/>
                <w:color w:val="auto"/>
                <w:spacing w:val="-6"/>
                <w:kern w:val="2"/>
                <w:sz w:val="21"/>
                <w:szCs w:val="21"/>
                <w:highlight w:val="none"/>
                <w:lang w:val="en-US" w:eastAsia="zh-CN" w:bidi="ar-SA"/>
              </w:rPr>
              <w:t>火灾，触电、粉尘伤害、噪声伤害、机械伤害等不可接受风险控制有效，从未发生任何事故。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211" w:hanging="211" w:hangingChars="100"/>
              <w:rPr>
                <w:rFonts w:ascii="宋体" w:hAnsi="宋体"/>
                <w:b/>
                <w:sz w:val="21"/>
                <w:szCs w:val="21"/>
                <w:highlight w:val="none"/>
              </w:rPr>
            </w:pPr>
            <w:r>
              <w:rPr>
                <w:rFonts w:ascii="宋体" w:hAnsi="宋体"/>
                <w:b/>
                <w:sz w:val="21"/>
                <w:szCs w:val="21"/>
                <w:highlight w:val="none"/>
              </w:rPr>
              <w:t xml:space="preserve">9. </w:t>
            </w:r>
            <w:r>
              <w:rPr>
                <w:rFonts w:hint="eastAsia" w:ascii="宋体" w:hAnsi="宋体"/>
                <w:b/>
                <w:sz w:val="21"/>
                <w:szCs w:val="21"/>
                <w:highlight w:val="none"/>
              </w:rPr>
              <w:t>应急准备与相应活动的演练及对预案可行性的评价</w:t>
            </w:r>
            <w:r>
              <w:rPr>
                <w:rFonts w:ascii="宋体" w:hAnsi="宋体"/>
                <w:b/>
                <w:sz w:val="21"/>
                <w:szCs w:val="21"/>
                <w:highlight w:val="none"/>
              </w:rPr>
              <w:t>(</w:t>
            </w:r>
            <w:r>
              <w:rPr>
                <w:rFonts w:hint="eastAsia" w:ascii="宋体" w:hAnsi="宋体"/>
                <w:b/>
                <w:sz w:val="21"/>
                <w:szCs w:val="21"/>
                <w:highlight w:val="none"/>
              </w:rPr>
              <w:t>当有规定时</w:t>
            </w:r>
            <w:r>
              <w:rPr>
                <w:rFonts w:ascii="宋体" w:hAnsi="宋体"/>
                <w:b/>
                <w:sz w:val="21"/>
                <w:szCs w:val="21"/>
                <w:highlight w:val="none"/>
              </w:rPr>
              <w:t xml:space="preserve">) </w:t>
            </w:r>
          </w:p>
          <w:p>
            <w:pPr>
              <w:spacing w:line="360" w:lineRule="auto"/>
              <w:ind w:firstLine="396" w:firstLineChars="200"/>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编制了《应急准备和响应程序》，建立了火灾、触电、机械伤害等应急预案，由生产部组织演练，提供了应急预案演习记录，并对有效性做评价。</w:t>
            </w:r>
          </w:p>
          <w:p>
            <w:pPr>
              <w:spacing w:line="360" w:lineRule="auto"/>
              <w:ind w:firstLine="396" w:firstLineChars="200"/>
              <w:rPr>
                <w:rFonts w:ascii="宋体" w:hAnsi="宋体"/>
                <w:b/>
                <w:sz w:val="21"/>
                <w:szCs w:val="21"/>
                <w:highlight w:val="none"/>
              </w:rPr>
            </w:pPr>
            <w:r>
              <w:rPr>
                <w:rFonts w:hint="eastAsia" w:ascii="宋体" w:hAnsi="宋体" w:eastAsia="宋体" w:cs="Arial"/>
                <w:color w:val="auto"/>
                <w:spacing w:val="-6"/>
                <w:kern w:val="2"/>
                <w:sz w:val="21"/>
                <w:szCs w:val="21"/>
                <w:highlight w:val="none"/>
                <w:lang w:val="en-US" w:eastAsia="zh-CN" w:bidi="ar-SA"/>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99" w:firstLineChars="50"/>
              <w:jc w:val="left"/>
              <w:rPr>
                <w:rFonts w:ascii="宋体" w:hAnsi="宋体"/>
                <w:b/>
                <w:sz w:val="21"/>
                <w:szCs w:val="21"/>
              </w:rPr>
            </w:pPr>
            <w:r>
              <w:rPr>
                <w:rFonts w:hint="eastAsia" w:ascii="宋体" w:hAnsi="宋体" w:eastAsia="宋体" w:cs="Arial"/>
                <w:color w:val="auto"/>
                <w:spacing w:val="-6"/>
                <w:kern w:val="2"/>
                <w:sz w:val="21"/>
                <w:szCs w:val="21"/>
                <w:lang w:val="en-US" w:eastAsia="zh-CN" w:bidi="ar-SA"/>
              </w:rPr>
              <w:t>提供行车、安全阀定期检验的证据，符合要求。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rPr>
              <w:t>11 .对危险化学品销售、使用、储存、运输处置，规定的执行力度(必要时);</w:t>
            </w:r>
          </w:p>
          <w:p>
            <w:pPr>
              <w:pStyle w:val="2"/>
              <w:spacing w:line="360" w:lineRule="auto"/>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360" w:lineRule="auto"/>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396" w:firstLineChars="200"/>
              <w:jc w:val="left"/>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公司制定《数据分析控制程序》，收集和分析适当的数据，评价公司管理体系的适宜性和有效性，充分识别可以改进的机会；</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保持有“监视和测量控制程序”，有效文件；</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查“环境安全检查记录”，每月检查，抽见：</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202</w:t>
            </w:r>
            <w:r>
              <w:rPr>
                <w:rFonts w:hint="eastAsia" w:ascii="宋体" w:hAnsi="宋体" w:eastAsia="宋体" w:cs="Arial"/>
                <w:color w:val="auto"/>
                <w:spacing w:val="-6"/>
                <w:sz w:val="21"/>
                <w:szCs w:val="21"/>
                <w:highlight w:val="none"/>
                <w:lang w:val="en-US" w:eastAsia="zh-CN"/>
              </w:rPr>
              <w:t>1</w:t>
            </w:r>
            <w:r>
              <w:rPr>
                <w:rFonts w:hint="default" w:ascii="宋体" w:hAnsi="宋体" w:eastAsia="宋体" w:cs="Arial"/>
                <w:color w:val="auto"/>
                <w:spacing w:val="-6"/>
                <w:sz w:val="21"/>
                <w:szCs w:val="21"/>
                <w:highlight w:val="none"/>
                <w:lang w:val="en-US" w:eastAsia="zh-CN"/>
              </w:rPr>
              <w:t>年1</w:t>
            </w:r>
            <w:r>
              <w:rPr>
                <w:rFonts w:hint="eastAsia" w:ascii="宋体" w:hAnsi="宋体" w:eastAsia="宋体" w:cs="Arial"/>
                <w:color w:val="auto"/>
                <w:spacing w:val="-6"/>
                <w:sz w:val="21"/>
                <w:szCs w:val="21"/>
                <w:highlight w:val="none"/>
                <w:lang w:val="en-US" w:eastAsia="zh-CN"/>
              </w:rPr>
              <w:t>-3</w:t>
            </w:r>
            <w:r>
              <w:rPr>
                <w:rFonts w:hint="default" w:ascii="宋体" w:hAnsi="宋体" w:eastAsia="宋体" w:cs="Arial"/>
                <w:color w:val="auto"/>
                <w:spacing w:val="-6"/>
                <w:sz w:val="21"/>
                <w:szCs w:val="21"/>
                <w:highlight w:val="none"/>
                <w:lang w:val="en-US" w:eastAsia="zh-CN"/>
              </w:rPr>
              <w:t>月</w:t>
            </w:r>
            <w:r>
              <w:rPr>
                <w:rFonts w:hint="eastAsia" w:ascii="宋体" w:hAnsi="宋体" w:eastAsia="宋体" w:cs="Arial"/>
                <w:color w:val="auto"/>
                <w:spacing w:val="-6"/>
                <w:sz w:val="21"/>
                <w:szCs w:val="21"/>
                <w:highlight w:val="none"/>
                <w:lang w:val="en-US" w:eastAsia="zh-CN"/>
              </w:rPr>
              <w:t>，对危废处理、劳防用品管理、持证上岗等等项目进行了检查，检查人黄XX等，检查结果未发现问题。介绍说，如果检查发现问题将执行《不符合、纠正与预防措施程序》，制定纠正措施进行整改。</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查见职业健康检查报告，美年达健康慈航体检中心出具，2020.12.30；职业禁忌症1人，介绍说已调岗，未保留调岗证据，交流；</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查见“年度会议材料”，对年度工作进行了总结，明确了公司优势，提出了公司发展中存在的问题，并对下年度的工作做出了安排。</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highlight w:val="none"/>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ind w:left="105" w:hanging="105" w:hangingChars="50"/>
              <w:rPr>
                <w:rFonts w:hint="eastAsia" w:ascii="宋体" w:hAnsi="宋体" w:eastAsia="宋体" w:cs="Times New Roman"/>
                <w:b/>
                <w:sz w:val="21"/>
                <w:szCs w:val="21"/>
              </w:rPr>
            </w:pPr>
            <w:r>
              <w:rPr>
                <w:rFonts w:hint="eastAsia" w:ascii="宋体" w:hAnsi="宋体" w:eastAsia="宋体" w:cs="Times New Roman"/>
                <w:b/>
                <w:sz w:val="21"/>
                <w:szCs w:val="21"/>
              </w:rPr>
              <w:t>2.顾客满意</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编制“顾客满意度控制程序”，有效文件；明确了顾客满意度监测方法。</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保留“顾客满意程度调查表”，销售部于2020年10月11日进行顾客满意度调查，发放调查表8份，回收调查表共 8份，抽见中山市公交自行车有限公司等。调查项目包括产品质量、价格比、交货期、售后服务等。</w:t>
            </w:r>
          </w:p>
          <w:p>
            <w:pPr>
              <w:pStyle w:val="2"/>
              <w:spacing w:line="360" w:lineRule="auto"/>
            </w:pPr>
            <w:r>
              <w:rPr>
                <w:rFonts w:hint="eastAsia" w:ascii="宋体" w:hAnsi="宋体" w:cs="Arial"/>
                <w:color w:val="auto"/>
                <w:spacing w:val="-6"/>
                <w:sz w:val="21"/>
                <w:szCs w:val="21"/>
                <w:lang w:val="en-US" w:eastAsia="zh-CN"/>
              </w:rPr>
              <w:t>保留“顾客满意度调查分析”，显示对本次调查的结果进行统计分析，顾客满意度98.2。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制定有《内部审核程序》，有效文件；</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2021年1月5日至1月6日对贯标的各职能部门、车间进行内部审核，保留了内审计划、内审记录、不符合报告、内审报告；</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本次内审未开具不符合报告；</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内审覆盖了管理体系范围内的活动及标准的要求；</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内审结论为：本公司管理体系是符合三个标准要求的，也是符合相关法律、法规要求的。在管理体系运行的过程中，本公司认为是较适宜的、充分的，其运行是有较的。</w:t>
            </w: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adjustRightInd w:val="0"/>
              <w:snapToGrid w:val="0"/>
              <w:spacing w:line="360" w:lineRule="auto"/>
              <w:ind w:right="120"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2021年1月13日召开管理评审会议</w:t>
            </w:r>
            <w:r>
              <w:rPr>
                <w:rFonts w:hint="eastAsia" w:ascii="宋体" w:hAnsi="宋体" w:eastAsia="宋体" w:cs="Arial"/>
                <w:spacing w:val="-6"/>
                <w:sz w:val="21"/>
                <w:szCs w:val="21"/>
                <w:lang w:val="en-US" w:eastAsia="zh-CN"/>
              </w:rPr>
              <w:t>，由胡庆春总经理主持；</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lang w:val="en-US" w:eastAsia="zh-CN"/>
              </w:rPr>
              <w:t>管理评审输入</w:t>
            </w:r>
            <w:r>
              <w:rPr>
                <w:rFonts w:hint="eastAsia" w:ascii="宋体" w:hAnsi="宋体" w:cs="Arial"/>
                <w:spacing w:val="-6"/>
                <w:sz w:val="21"/>
                <w:szCs w:val="21"/>
                <w:highlight w:val="none"/>
                <w:lang w:val="en-US" w:eastAsia="zh-CN"/>
              </w:rPr>
              <w:t>充分；</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highlight w:val="none"/>
                <w:lang w:val="en-US" w:eastAsia="zh-CN"/>
              </w:rPr>
              <w:t>对上年度管理评审改进措施进行了评审，基本落实。</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管理评审结论：管理体系的建立和运行是充分的、适宜的、有效的。</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spacing w:val="-6"/>
                <w:sz w:val="21"/>
                <w:szCs w:val="21"/>
                <w:lang w:val="en-US" w:eastAsia="zh-CN"/>
              </w:rPr>
              <w:t>改进措施建议主要是在沟通交流、提高工作效率、以事实说话等方面，提出来改进方法。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continue"/>
            <w:vAlign w:val="center"/>
          </w:tcPr>
          <w:p>
            <w:pPr>
              <w:spacing w:line="360" w:lineRule="auto"/>
              <w:jc w:val="center"/>
              <w:rPr>
                <w:b/>
                <w:sz w:val="20"/>
              </w:rPr>
            </w:pPr>
          </w:p>
        </w:tc>
        <w:tc>
          <w:tcPr>
            <w:tcW w:w="9198" w:type="dxa"/>
          </w:tcPr>
          <w:p>
            <w:pPr>
              <w:adjustRightInd w:val="0"/>
              <w:snapToGrid w:val="0"/>
              <w:spacing w:line="360" w:lineRule="auto"/>
              <w:ind w:right="120" w:rightChars="50"/>
              <w:textAlignment w:val="baseline"/>
              <w:rPr>
                <w:rFonts w:hint="eastAsia" w:ascii="宋体" w:hAnsi="宋体" w:cs="Arial"/>
                <w:b/>
                <w:bCs/>
                <w:spacing w:val="-6"/>
                <w:sz w:val="21"/>
                <w:szCs w:val="21"/>
                <w:lang w:val="en-US" w:eastAsia="zh-CN"/>
              </w:rPr>
            </w:pPr>
            <w:r>
              <w:rPr>
                <w:rFonts w:hint="eastAsia" w:ascii="宋体" w:hAnsi="宋体" w:cs="Arial"/>
                <w:b/>
                <w:bCs/>
                <w:spacing w:val="-6"/>
                <w:sz w:val="21"/>
                <w:szCs w:val="21"/>
                <w:lang w:val="en-US" w:eastAsia="zh-CN"/>
              </w:rPr>
              <w:t>5.  EMS是否按规定对主要污染物（污水、废气、噪声、废渣等）及排放实施了例行的监视或测量，结果是否满足相关要求？</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查三废检测报告，介绍说，考虑到公司生产环境没有变化，另外工厂准备今年搬迁，没有及时进行，交流；</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提供2019.5.16，江西赣安检测技术有限公司出具。对废水、废气、厂界噪声进行了检测，见：</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噪声——达标，执行《工业企业厂界环境噪声捧放标准》(GB12348-2008)3类标准；</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无组织排放——达标，《大气污染物综合排放标准》( GB16297-1996)表2无组织排放监控浓度限值；</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有组织废气——达标，《大气污染物综合排放标准》( GB16297-1996)表2中二级标准；</w:t>
            </w:r>
          </w:p>
          <w:p>
            <w:pPr>
              <w:adjustRightInd w:val="0"/>
              <w:snapToGrid w:val="0"/>
              <w:spacing w:line="360" w:lineRule="auto"/>
              <w:ind w:right="120" w:rightChars="50" w:firstLine="396" w:firstLineChars="200"/>
              <w:textAlignment w:val="baseline"/>
            </w:pPr>
            <w:r>
              <w:rPr>
                <w:rFonts w:hint="eastAsia" w:ascii="宋体" w:hAnsi="宋体" w:cs="Arial"/>
                <w:spacing w:val="-6"/>
                <w:sz w:val="21"/>
                <w:szCs w:val="21"/>
                <w:lang w:val="en-US" w:eastAsia="zh-CN"/>
              </w:rPr>
              <w:t>废水——达标，参考标准樟树城北经济技术开发区污水处理厂纳管标准。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pStyle w:val="2"/>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99" w:hangingChars="50"/>
              <w:rPr>
                <w:rFonts w:hint="eastAsia" w:ascii="宋体" w:hAnsi="宋体" w:eastAsia="宋体" w:cs="Arial"/>
                <w:b/>
                <w:bCs/>
                <w:color w:val="auto"/>
                <w:spacing w:val="-6"/>
                <w:kern w:val="2"/>
                <w:sz w:val="21"/>
                <w:szCs w:val="21"/>
                <w:highlight w:val="none"/>
                <w:lang w:val="en-US" w:eastAsia="zh-CN" w:bidi="ar-SA"/>
              </w:rPr>
            </w:pPr>
            <w:r>
              <w:rPr>
                <w:rFonts w:hint="eastAsia" w:ascii="宋体" w:hAnsi="宋体" w:eastAsia="宋体" w:cs="Arial"/>
                <w:b/>
                <w:bCs/>
                <w:color w:val="auto"/>
                <w:spacing w:val="-6"/>
                <w:kern w:val="2"/>
                <w:sz w:val="21"/>
                <w:szCs w:val="21"/>
                <w:highlight w:val="none"/>
                <w:lang w:val="en-US" w:eastAsia="zh-CN" w:bidi="ar-SA"/>
              </w:rPr>
              <w:t>7. OHSMS是否按规定对职业健康安全项目进行定期测量，结果是否满足相关要求：</w:t>
            </w:r>
          </w:p>
          <w:p>
            <w:pPr>
              <w:spacing w:line="360" w:lineRule="auto"/>
              <w:ind w:firstLine="396" w:firstLineChars="200"/>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保留职业健康检查报告，美年达健康慈航体检中心出具，2020.12.30；职业禁忌症1人，介绍说已调岗，未保留调岗证据，交流；</w:t>
            </w:r>
          </w:p>
          <w:p>
            <w:pPr>
              <w:pStyle w:val="2"/>
              <w:spacing w:line="360" w:lineRule="auto"/>
            </w:pPr>
            <w:r>
              <w:rPr>
                <w:rFonts w:hint="eastAsia" w:ascii="宋体" w:hAnsi="宋体" w:cs="Arial"/>
                <w:color w:val="auto"/>
                <w:spacing w:val="-6"/>
                <w:sz w:val="21"/>
                <w:szCs w:val="21"/>
                <w:highlight w:val="none"/>
                <w:lang w:val="en-US" w:eastAsia="zh-CN"/>
              </w:rPr>
              <w:t>查见职业病危害因素检测报告，2021.1.6，江西省矿检安全科技有限公司出具，对电焊、打磨、冲压、剪切、喷涂等工位的电焊烟尘、氮氧化物、锰、噪声、紫外辐射等进行了检测，判定依据：《工作场所有害因素职业接触限值》1、2部分，判定结果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 w:val="20"/>
              </w:rPr>
            </w:pPr>
          </w:p>
        </w:tc>
        <w:tc>
          <w:tcPr>
            <w:tcW w:w="9198" w:type="dxa"/>
          </w:tcPr>
          <w:p>
            <w:pPr>
              <w:widowControl/>
              <w:spacing w:line="360" w:lineRule="auto"/>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360" w:lineRule="auto"/>
              <w:ind w:left="113" w:right="113"/>
              <w:jc w:val="center"/>
              <w:rPr>
                <w:rFonts w:ascii="宋体" w:hAnsi="宋体"/>
                <w:b/>
                <w:szCs w:val="21"/>
              </w:rPr>
            </w:pPr>
            <w:r>
              <w:rPr>
                <w:rFonts w:hint="eastAsia" w:ascii="宋体" w:hAnsi="宋体"/>
                <w:b/>
                <w:szCs w:val="21"/>
              </w:rPr>
              <w:t>(五)持</w:t>
            </w:r>
          </w:p>
          <w:p>
            <w:pPr>
              <w:spacing w:line="360" w:lineRule="auto"/>
              <w:ind w:left="113" w:right="113"/>
              <w:jc w:val="center"/>
              <w:rPr>
                <w:rFonts w:ascii="宋体" w:hAnsi="宋体"/>
                <w:b/>
                <w:szCs w:val="21"/>
              </w:rPr>
            </w:pPr>
            <w:r>
              <w:rPr>
                <w:rFonts w:hint="eastAsia" w:ascii="宋体" w:hAnsi="宋体"/>
                <w:b/>
                <w:szCs w:val="21"/>
              </w:rPr>
              <w:t>续</w:t>
            </w:r>
          </w:p>
          <w:p>
            <w:pPr>
              <w:spacing w:line="360" w:lineRule="auto"/>
              <w:ind w:left="113" w:right="113"/>
              <w:jc w:val="center"/>
              <w:rPr>
                <w:rFonts w:ascii="宋体" w:hAnsi="宋体"/>
                <w:b/>
                <w:szCs w:val="21"/>
              </w:rPr>
            </w:pPr>
            <w:r>
              <w:rPr>
                <w:rFonts w:hint="eastAsia" w:ascii="宋体" w:hAnsi="宋体"/>
                <w:b/>
                <w:szCs w:val="21"/>
              </w:rPr>
              <w:t>改</w:t>
            </w:r>
          </w:p>
          <w:p>
            <w:pPr>
              <w:spacing w:line="360" w:lineRule="auto"/>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ind w:firstLine="396" w:firstLineChars="200"/>
              <w:rPr>
                <w:rFonts w:ascii="宋体" w:hAnsi="宋体"/>
                <w:b/>
                <w:sz w:val="21"/>
                <w:szCs w:val="21"/>
              </w:rPr>
            </w:pPr>
            <w:r>
              <w:rPr>
                <w:rFonts w:hint="eastAsia" w:ascii="宋体" w:hAnsi="宋体" w:eastAsia="宋体" w:cs="Arial"/>
                <w:color w:val="auto"/>
                <w:spacing w:val="-6"/>
                <w:sz w:val="21"/>
                <w:szCs w:val="21"/>
                <w:highlight w:val="none"/>
                <w:lang w:val="en-US" w:eastAsia="zh-CN"/>
              </w:rPr>
              <w:t>企业自体系建立以来，通过内审的改进、管理评审；纠正措施的实施、顾客满意度调查等措施，采取了具体的改进措施。基本符合要求。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rPr>
              <w:t>4. 上次不符合的整改情况</w:t>
            </w:r>
          </w:p>
          <w:p>
            <w:pPr>
              <w:pStyle w:val="2"/>
            </w:pPr>
            <w:r>
              <w:rPr>
                <w:rFonts w:hint="eastAsia" w:ascii="宋体" w:hAnsi="宋体" w:cs="Arial"/>
                <w:spacing w:val="-6"/>
                <w:sz w:val="21"/>
                <w:szCs w:val="21"/>
                <w:highlight w:val="none"/>
                <w:lang w:val="en-US" w:eastAsia="zh-CN"/>
              </w:rPr>
              <w:t>上次监督审核时发现的问题，经现场验证已关闭，整改措施有效。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pStyle w:val="2"/>
      </w:pP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A3"/>
            </w:r>
            <w:r>
              <w:rPr>
                <w:rFonts w:ascii="宋体" w:hAnsi="宋体"/>
                <w:b/>
                <w:szCs w:val="21"/>
              </w:rPr>
              <w:t>QMS</w:t>
            </w:r>
            <w:r>
              <w:rPr>
                <w:rFonts w:hint="eastAsia" w:ascii="宋体" w:hAnsi="宋体"/>
                <w:b/>
                <w:szCs w:val="21"/>
              </w:rPr>
              <w:sym w:font="Wingdings 2" w:char="00A3"/>
            </w:r>
            <w:r>
              <w:rPr>
                <w:rFonts w:hint="eastAsia" w:ascii="宋体" w:hAnsi="宋体"/>
                <w:b/>
                <w:szCs w:val="21"/>
              </w:rPr>
              <w:t>50430</w:t>
            </w:r>
            <w:r>
              <w:rPr>
                <w:rFonts w:hint="eastAsia" w:ascii="宋体" w:hAnsi="宋体"/>
                <w:b/>
                <w:szCs w:val="21"/>
              </w:rPr>
              <w:sym w:font="Wingdings 2" w:char="00A3"/>
            </w:r>
            <w:r>
              <w:rPr>
                <w:rFonts w:ascii="宋体" w:hAnsi="宋体"/>
                <w:b/>
                <w:szCs w:val="21"/>
              </w:rPr>
              <w:t xml:space="preserve">EMS  </w:t>
            </w:r>
            <w:r>
              <w:rPr>
                <w:rFonts w:hint="eastAsia" w:ascii="宋体" w:hAnsi="宋体"/>
                <w:b/>
                <w:szCs w:val="21"/>
              </w:rPr>
              <w:sym w:font="Wingdings 2" w:char="00A3"/>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pStyle w:val="2"/>
            </w:pPr>
          </w:p>
          <w:p>
            <w:pPr>
              <w:pStyle w:val="2"/>
            </w:pPr>
          </w:p>
          <w:p>
            <w:pPr>
              <w:pStyle w:val="2"/>
            </w:pP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360" w:lineRule="auto"/>
              <w:ind w:firstLine="396" w:firstLineChars="200"/>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组织建立并实施的管理体系基本符合标准要求，可能存在的重要风险可以得到有效控制，没有出现过环境和安全事故以及顾客投诉事件发生，体系运行基本有效，组织初步建立了自我完善和自我改进机制。</w:t>
            </w:r>
          </w:p>
          <w:p>
            <w:pPr>
              <w:spacing w:line="360" w:lineRule="auto"/>
              <w:ind w:firstLine="396" w:firstLineChars="200"/>
              <w:rPr>
                <w:rFonts w:ascii="宋体" w:hAnsi="宋体"/>
                <w:b/>
                <w:szCs w:val="21"/>
              </w:rPr>
            </w:pPr>
            <w:r>
              <w:rPr>
                <w:rFonts w:hint="eastAsia" w:ascii="宋体" w:hAnsi="宋体" w:eastAsia="宋体" w:cs="Arial"/>
                <w:spacing w:val="-6"/>
                <w:kern w:val="2"/>
                <w:sz w:val="21"/>
                <w:szCs w:val="21"/>
                <w:highlight w:val="none"/>
                <w:lang w:val="en-US" w:eastAsia="zh-CN" w:bidi="ar-SA"/>
              </w:rPr>
              <w:t>同意推荐保持认证注册资格。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rFonts w:hint="eastAsia"/>
          <w:b/>
          <w:sz w:val="21"/>
        </w:rPr>
      </w:pPr>
      <w:r>
        <w:rPr>
          <w:rFonts w:hint="eastAsia"/>
          <w:b/>
          <w:sz w:val="21"/>
        </w:rPr>
        <w:t>根据相关规定，请组织对一般不符合报告在</w:t>
      </w:r>
      <w:r>
        <w:rPr>
          <w:b/>
          <w:sz w:val="21"/>
          <w:u w:val="single"/>
        </w:rPr>
        <w:t xml:space="preserve">  </w:t>
      </w:r>
      <w:r>
        <w:rPr>
          <w:rFonts w:hint="eastAsia"/>
          <w:b/>
          <w:sz w:val="21"/>
          <w:u w:val="single"/>
          <w:lang w:val="en-US" w:eastAsia="zh-CN"/>
        </w:rPr>
        <w:t xml:space="preserve"> </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pStyle w:val="2"/>
      </w:pPr>
    </w:p>
    <w:p>
      <w:pPr>
        <w:spacing w:before="163" w:beforeLines="50" w:after="163" w:afterLines="50"/>
        <w:ind w:left="-122" w:leftChars="-51" w:firstLine="120" w:firstLineChars="46"/>
        <w:rPr>
          <w:rFonts w:hint="eastAsia"/>
          <w:b/>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pStyle w:val="2"/>
      </w:pP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1579880</wp:posOffset>
            </wp:positionH>
            <wp:positionV relativeFrom="paragraph">
              <wp:posOffset>254000</wp:posOffset>
            </wp:positionV>
            <wp:extent cx="845185" cy="509270"/>
            <wp:effectExtent l="0" t="0" r="12065" b="5080"/>
            <wp:wrapNone/>
            <wp:docPr id="1"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45185" cy="50927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2034540</wp:posOffset>
            </wp:positionH>
            <wp:positionV relativeFrom="paragraph">
              <wp:posOffset>20955</wp:posOffset>
            </wp:positionV>
            <wp:extent cx="870585" cy="534670"/>
            <wp:effectExtent l="0" t="0" r="5715" b="17780"/>
            <wp:wrapNone/>
            <wp:docPr id="2" name="图片 2"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文波"/>
                    <pic:cNvPicPr>
                      <a:picLocks noChangeAspect="1"/>
                    </pic:cNvPicPr>
                  </pic:nvPicPr>
                  <pic:blipFill>
                    <a:blip r:embed="rId7"/>
                    <a:stretch>
                      <a:fillRect/>
                    </a:stretch>
                  </pic:blipFill>
                  <pic:spPr>
                    <a:xfrm>
                      <a:off x="0" y="0"/>
                      <a:ext cx="870585" cy="53467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2021.3.31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F50C56"/>
    <w:rsid w:val="4D1B0FB5"/>
    <w:rsid w:val="601A6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6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3">
    <w:name w:val="Body Text Indent"/>
    <w:basedOn w:val="1"/>
    <w:qFormat/>
    <w:uiPriority w:val="99"/>
    <w:pPr>
      <w:spacing w:after="120"/>
      <w:ind w:left="420" w:leftChars="200"/>
    </w:pPr>
  </w:style>
  <w:style w:type="paragraph" w:styleId="4">
    <w:name w:val="Balloon Text"/>
    <w:basedOn w:val="1"/>
    <w:link w:val="12"/>
    <w:semiHidden/>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Body Text First Indent 2"/>
    <w:basedOn w:val="3"/>
    <w:qFormat/>
    <w:uiPriority w:val="99"/>
    <w:pPr>
      <w:spacing w:before="10" w:after="0"/>
      <w:ind w:left="0" w:leftChars="0" w:firstLine="420" w:firstLineChars="200"/>
      <w:jc w:val="left"/>
    </w:pPr>
    <w:rPr>
      <w:rFonts w:ascii="宋体" w:hAnsi="宋体"/>
      <w:color w:val="000000"/>
      <w:kern w:val="0"/>
      <w:szCs w:val="24"/>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customStyle="1" w:styleId="12">
    <w:name w:val="批注框文本 Char"/>
    <w:link w:val="4"/>
    <w:semiHidden/>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locked/>
    <w:uiPriority w:val="0"/>
    <w:rPr>
      <w:sz w:val="18"/>
    </w:rPr>
  </w:style>
  <w:style w:type="character" w:customStyle="1" w:styleId="15">
    <w:name w:val="页眉 Char1"/>
    <w:semiHidden/>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lenovo1018</cp:lastModifiedBy>
  <cp:lastPrinted>2019-04-18T08:15:00Z</cp:lastPrinted>
  <dcterms:modified xsi:type="dcterms:W3CDTF">2021-03-31T08:18:01Z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