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bCs/>
          <w:color w:val="000000"/>
          <w:sz w:val="36"/>
          <w:szCs w:val="36"/>
        </w:rPr>
      </w:pPr>
      <w:r>
        <w:rPr>
          <w:rFonts w:hAnsi="宋体"/>
          <w:bCs/>
          <w:color w:val="000000"/>
          <w:sz w:val="36"/>
          <w:szCs w:val="36"/>
        </w:rPr>
        <w:t>管理体系审核记录表</w:t>
      </w:r>
    </w:p>
    <w:tbl>
      <w:tblPr>
        <w:tblStyle w:val="2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1166"/>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54" w:type="dxa"/>
            <w:vMerge w:val="restart"/>
            <w:vAlign w:val="center"/>
          </w:tcPr>
          <w:p>
            <w:pPr>
              <w:spacing w:before="120"/>
              <w:jc w:val="center"/>
              <w:rPr>
                <w:lang w:eastAsia="zh-CN"/>
              </w:rPr>
            </w:pPr>
            <w:r>
              <w:rPr>
                <w:rFonts w:hAnsi="宋体"/>
                <w:lang w:eastAsia="zh-CN"/>
              </w:rPr>
              <w:t>过程与活动、</w:t>
            </w:r>
          </w:p>
          <w:p>
            <w:pPr>
              <w:jc w:val="center"/>
              <w:rPr>
                <w:lang w:eastAsia="zh-CN"/>
              </w:rPr>
            </w:pPr>
            <w:r>
              <w:rPr>
                <w:rFonts w:hAnsi="宋体"/>
                <w:lang w:eastAsia="zh-CN"/>
              </w:rPr>
              <w:t>抽样计划</w:t>
            </w:r>
          </w:p>
        </w:tc>
        <w:tc>
          <w:tcPr>
            <w:tcW w:w="1166" w:type="dxa"/>
            <w:vMerge w:val="restart"/>
            <w:vAlign w:val="center"/>
          </w:tcPr>
          <w:p>
            <w:r>
              <w:rPr>
                <w:rFonts w:hAnsi="宋体"/>
              </w:rPr>
              <w:t>涉及</w:t>
            </w:r>
          </w:p>
          <w:p>
            <w:r>
              <w:rPr>
                <w:rFonts w:hAnsi="宋体"/>
              </w:rPr>
              <w:t>条款</w:t>
            </w:r>
          </w:p>
        </w:tc>
        <w:tc>
          <w:tcPr>
            <w:tcW w:w="10738" w:type="dxa"/>
            <w:vAlign w:val="center"/>
          </w:tcPr>
          <w:p>
            <w:pPr>
              <w:rPr>
                <w:lang w:eastAsia="zh-CN"/>
              </w:rPr>
            </w:pPr>
            <w:r>
              <w:rPr>
                <w:rFonts w:hAnsi="宋体"/>
                <w:lang w:eastAsia="zh-CN"/>
              </w:rPr>
              <w:t>受审核部门：生产部</w:t>
            </w:r>
            <w:r>
              <w:rPr>
                <w:lang w:eastAsia="zh-CN"/>
              </w:rPr>
              <w:t xml:space="preserve">    </w:t>
            </w:r>
            <w:r>
              <w:rPr>
                <w:rFonts w:hAnsi="宋体"/>
                <w:lang w:eastAsia="zh-CN"/>
              </w:rPr>
              <w:t>主管领导：聂云清</w:t>
            </w:r>
            <w:r>
              <w:rPr>
                <w:lang w:eastAsia="zh-CN"/>
              </w:rPr>
              <w:t xml:space="preserve">    </w:t>
            </w:r>
            <w:r>
              <w:rPr>
                <w:rFonts w:hAnsi="宋体"/>
                <w:lang w:eastAsia="zh-CN"/>
              </w:rPr>
              <w:t>陪同人员：傅志远</w:t>
            </w:r>
          </w:p>
        </w:tc>
        <w:tc>
          <w:tcPr>
            <w:tcW w:w="851" w:type="dxa"/>
            <w:vMerge w:val="restart"/>
            <w:vAlign w:val="center"/>
          </w:tcPr>
          <w:p>
            <w:r>
              <w:rPr>
                <w:rFonts w:hAnsi="宋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54" w:type="dxa"/>
            <w:vMerge w:val="continue"/>
            <w:vAlign w:val="center"/>
          </w:tcPr>
          <w:p/>
        </w:tc>
        <w:tc>
          <w:tcPr>
            <w:tcW w:w="1166" w:type="dxa"/>
            <w:vMerge w:val="continue"/>
            <w:vAlign w:val="center"/>
          </w:tcPr>
          <w:p/>
        </w:tc>
        <w:tc>
          <w:tcPr>
            <w:tcW w:w="10738" w:type="dxa"/>
            <w:vAlign w:val="center"/>
          </w:tcPr>
          <w:p>
            <w:pPr>
              <w:spacing w:before="120"/>
              <w:rPr>
                <w:lang w:eastAsia="zh-CN"/>
              </w:rPr>
            </w:pPr>
            <w:r>
              <w:rPr>
                <w:rFonts w:hAnsi="宋体"/>
                <w:lang w:eastAsia="zh-CN"/>
              </w:rPr>
              <w:t>审核员：文波</w:t>
            </w:r>
            <w:r>
              <w:rPr>
                <w:lang w:eastAsia="zh-CN"/>
              </w:rPr>
              <w:t xml:space="preserve">    </w:t>
            </w:r>
            <w:r>
              <w:rPr>
                <w:rFonts w:hAnsi="宋体"/>
                <w:lang w:eastAsia="zh-CN"/>
              </w:rPr>
              <w:t>审核时间：</w:t>
            </w:r>
            <w:r>
              <w:rPr>
                <w:lang w:eastAsia="zh-CN"/>
              </w:rPr>
              <w:t>2021-3-29</w:t>
            </w:r>
          </w:p>
        </w:tc>
        <w:tc>
          <w:tcPr>
            <w:tcW w:w="851" w:type="dxa"/>
            <w:vMerge w:val="continue"/>
          </w:tcPr>
          <w:p>
            <w:pP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54" w:type="dxa"/>
            <w:vMerge w:val="continue"/>
            <w:vAlign w:val="center"/>
          </w:tcPr>
          <w:p>
            <w:pPr>
              <w:rPr>
                <w:lang w:eastAsia="zh-CN"/>
              </w:rPr>
            </w:pPr>
          </w:p>
        </w:tc>
        <w:tc>
          <w:tcPr>
            <w:tcW w:w="1166" w:type="dxa"/>
            <w:vMerge w:val="continue"/>
            <w:vAlign w:val="center"/>
          </w:tcPr>
          <w:p>
            <w:pPr>
              <w:rPr>
                <w:lang w:eastAsia="zh-CN"/>
              </w:rPr>
            </w:pPr>
          </w:p>
        </w:tc>
        <w:tc>
          <w:tcPr>
            <w:tcW w:w="10738" w:type="dxa"/>
            <w:vAlign w:val="center"/>
          </w:tcPr>
          <w:p>
            <w:pPr>
              <w:spacing w:beforeLines="30" w:afterLines="30" w:line="300" w:lineRule="exact"/>
              <w:rPr>
                <w:lang w:eastAsia="zh-CN"/>
              </w:rPr>
            </w:pPr>
            <w:r>
              <w:rPr>
                <w:rFonts w:hAnsi="宋体"/>
                <w:lang w:eastAsia="zh-CN"/>
              </w:rPr>
              <w:t>审核条款：</w:t>
            </w:r>
          </w:p>
          <w:p>
            <w:pPr>
              <w:adjustRightInd w:val="0"/>
              <w:snapToGrid w:val="0"/>
              <w:spacing w:beforeLines="30" w:afterLines="30" w:line="300" w:lineRule="exact"/>
              <w:ind w:right="120" w:rightChars="50"/>
              <w:textAlignment w:val="baseline"/>
              <w:rPr>
                <w:lang w:eastAsia="zh-CN"/>
              </w:rPr>
            </w:pPr>
            <w:r>
              <w:rPr>
                <w:lang w:eastAsia="zh-CN"/>
              </w:rPr>
              <w:t>Q:5.3</w:t>
            </w:r>
            <w:r>
              <w:rPr>
                <w:rFonts w:hAnsi="宋体"/>
                <w:lang w:eastAsia="zh-CN"/>
              </w:rPr>
              <w:t>组织的岗位、职责和权限、</w:t>
            </w:r>
            <w:r>
              <w:rPr>
                <w:lang w:eastAsia="zh-CN"/>
              </w:rPr>
              <w:t>6.2</w:t>
            </w:r>
            <w:r>
              <w:rPr>
                <w:rFonts w:hAnsi="宋体"/>
                <w:lang w:eastAsia="zh-CN"/>
              </w:rPr>
              <w:t>质量目标、</w:t>
            </w:r>
            <w:r>
              <w:rPr>
                <w:lang w:eastAsia="zh-CN"/>
              </w:rPr>
              <w:t>7.1.3</w:t>
            </w:r>
            <w:r>
              <w:rPr>
                <w:rFonts w:hAnsi="宋体"/>
                <w:lang w:eastAsia="zh-CN"/>
              </w:rPr>
              <w:t>基础设施、</w:t>
            </w:r>
            <w:r>
              <w:rPr>
                <w:lang w:eastAsia="zh-CN"/>
              </w:rPr>
              <w:t>7.1.4</w:t>
            </w:r>
            <w:r>
              <w:rPr>
                <w:rFonts w:hAnsi="宋体"/>
                <w:lang w:eastAsia="zh-CN"/>
              </w:rPr>
              <w:t>运行环境、</w:t>
            </w:r>
            <w:r>
              <w:rPr>
                <w:lang w:eastAsia="zh-CN"/>
              </w:rPr>
              <w:t>8.1</w:t>
            </w:r>
            <w:r>
              <w:rPr>
                <w:rFonts w:hAnsi="宋体"/>
                <w:lang w:eastAsia="zh-CN"/>
              </w:rPr>
              <w:t>运行策划和控制、</w:t>
            </w:r>
            <w:r>
              <w:rPr>
                <w:lang w:eastAsia="zh-CN"/>
              </w:rPr>
              <w:t>8.5.1</w:t>
            </w:r>
            <w:r>
              <w:rPr>
                <w:rFonts w:hAnsi="宋体"/>
                <w:lang w:eastAsia="zh-CN"/>
              </w:rPr>
              <w:t>生产和服务提供的控制、</w:t>
            </w:r>
            <w:r>
              <w:rPr>
                <w:lang w:eastAsia="zh-CN"/>
              </w:rPr>
              <w:t>8.5.2</w:t>
            </w:r>
            <w:r>
              <w:rPr>
                <w:rFonts w:hAnsi="宋体"/>
                <w:lang w:eastAsia="zh-CN"/>
              </w:rPr>
              <w:t>产品标识和可追朔性、</w:t>
            </w:r>
            <w:r>
              <w:rPr>
                <w:lang w:eastAsia="zh-CN"/>
              </w:rPr>
              <w:t>8.5.4</w:t>
            </w:r>
            <w:r>
              <w:rPr>
                <w:rFonts w:hAnsi="宋体"/>
                <w:lang w:eastAsia="zh-CN"/>
              </w:rPr>
              <w:t>产品防护、</w:t>
            </w:r>
            <w:r>
              <w:rPr>
                <w:lang w:eastAsia="zh-CN"/>
              </w:rPr>
              <w:t>8.5.6</w:t>
            </w:r>
            <w:r>
              <w:rPr>
                <w:rFonts w:hAnsi="宋体"/>
                <w:lang w:eastAsia="zh-CN"/>
              </w:rPr>
              <w:t>更改控制、</w:t>
            </w:r>
          </w:p>
          <w:p>
            <w:pPr>
              <w:snapToGrid w:val="0"/>
              <w:spacing w:beforeLines="30" w:afterLines="30" w:line="300" w:lineRule="exact"/>
              <w:rPr>
                <w:lang w:eastAsia="zh-CN"/>
              </w:rPr>
            </w:pPr>
            <w:r>
              <w:rPr>
                <w:lang w:eastAsia="zh-CN"/>
              </w:rPr>
              <w:t>E/O:5.3</w:t>
            </w:r>
            <w:r>
              <w:rPr>
                <w:rFonts w:hAnsi="宋体"/>
                <w:lang w:eastAsia="zh-CN"/>
              </w:rPr>
              <w:t>组织的岗位、职责和权限、</w:t>
            </w:r>
            <w:r>
              <w:rPr>
                <w:lang w:eastAsia="zh-CN"/>
              </w:rPr>
              <w:t>6.2</w:t>
            </w:r>
            <w:r>
              <w:rPr>
                <w:rFonts w:hAnsi="宋体"/>
                <w:lang w:eastAsia="zh-CN"/>
              </w:rPr>
              <w:t>环境</w:t>
            </w:r>
            <w:r>
              <w:rPr>
                <w:lang w:eastAsia="zh-CN"/>
              </w:rPr>
              <w:t>/</w:t>
            </w:r>
            <w:r>
              <w:rPr>
                <w:rFonts w:hAnsi="宋体"/>
                <w:lang w:eastAsia="zh-CN"/>
              </w:rPr>
              <w:t>职业健康安全目标、</w:t>
            </w:r>
            <w:r>
              <w:rPr>
                <w:lang w:eastAsia="zh-CN"/>
              </w:rPr>
              <w:t>6.1.2</w:t>
            </w:r>
            <w:r>
              <w:rPr>
                <w:rFonts w:hAnsi="宋体"/>
                <w:lang w:eastAsia="zh-CN"/>
              </w:rPr>
              <w:t>环境因素</w:t>
            </w:r>
            <w:r>
              <w:rPr>
                <w:lang w:eastAsia="zh-CN"/>
              </w:rPr>
              <w:t>/</w:t>
            </w:r>
            <w:r>
              <w:rPr>
                <w:rFonts w:hAnsi="宋体"/>
                <w:lang w:eastAsia="zh-CN"/>
              </w:rPr>
              <w:t>危险源的识别与评价、</w:t>
            </w:r>
            <w:r>
              <w:rPr>
                <w:lang w:eastAsia="zh-CN"/>
              </w:rPr>
              <w:t>6.1.4</w:t>
            </w:r>
            <w:r>
              <w:rPr>
                <w:rFonts w:hAnsi="宋体"/>
                <w:lang w:eastAsia="zh-CN"/>
              </w:rPr>
              <w:t>措施的策划、</w:t>
            </w:r>
            <w:r>
              <w:rPr>
                <w:lang w:eastAsia="zh-CN"/>
              </w:rPr>
              <w:t>6.1.3</w:t>
            </w:r>
            <w:r>
              <w:rPr>
                <w:rFonts w:hAnsi="宋体"/>
                <w:lang w:eastAsia="zh-CN"/>
              </w:rPr>
              <w:t>合规义务、</w:t>
            </w:r>
            <w:r>
              <w:rPr>
                <w:lang w:eastAsia="zh-CN"/>
              </w:rPr>
              <w:t>9.1.2</w:t>
            </w:r>
            <w:r>
              <w:rPr>
                <w:rFonts w:hAnsi="宋体"/>
                <w:lang w:eastAsia="zh-CN"/>
              </w:rPr>
              <w:t>合规性评价、</w:t>
            </w:r>
            <w:r>
              <w:rPr>
                <w:lang w:eastAsia="zh-CN"/>
              </w:rPr>
              <w:t>8.1</w:t>
            </w:r>
            <w:r>
              <w:rPr>
                <w:rFonts w:hAnsi="宋体"/>
                <w:lang w:eastAsia="zh-CN"/>
              </w:rPr>
              <w:t>运行策划和控制、</w:t>
            </w:r>
            <w:r>
              <w:rPr>
                <w:lang w:eastAsia="zh-CN"/>
              </w:rPr>
              <w:t>8.2</w:t>
            </w:r>
            <w:r>
              <w:rPr>
                <w:rFonts w:hAnsi="宋体"/>
                <w:lang w:eastAsia="zh-CN"/>
              </w:rPr>
              <w:t>应急准备和响应</w:t>
            </w:r>
          </w:p>
        </w:tc>
        <w:tc>
          <w:tcPr>
            <w:tcW w:w="851" w:type="dxa"/>
            <w:vMerge w:val="continue"/>
          </w:tcPr>
          <w:p>
            <w:pP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954" w:type="dxa"/>
          </w:tcPr>
          <w:p>
            <w:pPr>
              <w:rPr>
                <w:lang w:eastAsia="zh-CN"/>
              </w:rPr>
            </w:pPr>
            <w:r>
              <w:rPr>
                <w:rFonts w:hAnsi="宋体"/>
                <w:lang w:eastAsia="zh-CN"/>
              </w:rPr>
              <w:t>部门及人员的职责和权限</w:t>
            </w:r>
          </w:p>
        </w:tc>
        <w:tc>
          <w:tcPr>
            <w:tcW w:w="1166" w:type="dxa"/>
          </w:tcPr>
          <w:p>
            <w:pPr>
              <w:rPr>
                <w:b/>
                <w:bCs/>
              </w:rPr>
            </w:pPr>
            <w:r>
              <w:rPr>
                <w:b/>
                <w:bCs/>
              </w:rPr>
              <w:t>QEO5.3</w:t>
            </w:r>
          </w:p>
          <w:p>
            <w:pPr>
              <w:rPr>
                <w:b/>
                <w:bCs/>
              </w:rPr>
            </w:pPr>
          </w:p>
          <w:p/>
        </w:tc>
        <w:tc>
          <w:tcPr>
            <w:tcW w:w="10738" w:type="dxa"/>
          </w:tcPr>
          <w:p>
            <w:pPr>
              <w:spacing w:beforeLines="30" w:afterLines="30" w:line="288" w:lineRule="auto"/>
              <w:ind w:firstLine="480" w:firstLineChars="200"/>
              <w:rPr>
                <w:lang w:eastAsia="zh-CN"/>
              </w:rPr>
            </w:pPr>
            <w:r>
              <w:rPr>
                <w:rFonts w:hAnsiTheme="minorEastAsia"/>
                <w:lang w:eastAsia="zh-CN"/>
              </w:rPr>
              <w:t>生产部主要作用、职责和权限包括</w:t>
            </w:r>
            <w:r>
              <w:rPr>
                <w:lang w:eastAsia="zh-CN"/>
              </w:rPr>
              <w:t>:</w:t>
            </w:r>
            <w:r>
              <w:rPr>
                <w:rFonts w:hAnsiTheme="minorEastAsia"/>
                <w:lang w:eastAsia="zh-CN"/>
              </w:rPr>
              <w:t>负责基础设施管理控制，负责生产和服务提供的控制，包括制定生产计划，科学合理调度，确保生产计划及时按期完成，负责产品标识，并确保在必要时实现可追溯性，负责产品实现的策划，质量管理体系生产服务提供控制，负责环境因素、危险源辨识和控制，负责生产过程运行的环境和安全控制，应急预案并实施预案的紧急演练，负责产品生产作业活动、过程中环境安全的监视和测量，负责生产进度、现场工作环境和安全生产管理。</w:t>
            </w:r>
          </w:p>
          <w:p>
            <w:pPr>
              <w:spacing w:beforeLines="30" w:afterLines="30" w:line="300" w:lineRule="exact"/>
              <w:rPr>
                <w:lang w:eastAsia="zh-CN"/>
              </w:rPr>
            </w:pPr>
            <w:r>
              <w:rPr>
                <w:rFonts w:hAnsiTheme="minorEastAsia"/>
                <w:lang w:eastAsia="zh-CN"/>
              </w:rPr>
              <w:t>生产部上述作用和职责、权限基本得到有效沟通和实施。</w:t>
            </w:r>
          </w:p>
        </w:tc>
        <w:tc>
          <w:tcPr>
            <w:tcW w:w="851"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954" w:type="dxa"/>
          </w:tcPr>
          <w:p>
            <w:pPr>
              <w:spacing w:line="360" w:lineRule="auto"/>
              <w:rPr>
                <w:rFonts w:hAnsi="宋体"/>
                <w:lang w:eastAsia="zh-CN"/>
              </w:rPr>
            </w:pPr>
            <w:r>
              <w:rPr>
                <w:rFonts w:hAnsi="宋体"/>
                <w:lang w:eastAsia="zh-CN"/>
              </w:rPr>
              <w:t>环境因素</w:t>
            </w:r>
            <w:r>
              <w:rPr>
                <w:lang w:eastAsia="zh-CN"/>
              </w:rPr>
              <w:t>/</w:t>
            </w:r>
            <w:r>
              <w:rPr>
                <w:rFonts w:hAnsi="宋体"/>
                <w:lang w:eastAsia="zh-CN"/>
              </w:rPr>
              <w:t>危险源辨识与评价</w:t>
            </w:r>
          </w:p>
          <w:p>
            <w:pPr>
              <w:spacing w:line="360" w:lineRule="auto"/>
              <w:rPr>
                <w:rFonts w:hAnsi="宋体"/>
                <w:lang w:eastAsia="zh-CN"/>
              </w:rPr>
            </w:pPr>
          </w:p>
          <w:p>
            <w:pPr>
              <w:spacing w:line="360" w:lineRule="auto"/>
              <w:rPr>
                <w:rFonts w:hAnsi="宋体"/>
                <w:lang w:eastAsia="zh-CN"/>
              </w:rPr>
            </w:pPr>
          </w:p>
          <w:p>
            <w:pPr>
              <w:spacing w:line="360" w:lineRule="auto"/>
              <w:rPr>
                <w:rFonts w:hAnsi="宋体"/>
                <w:lang w:eastAsia="zh-CN"/>
              </w:rPr>
            </w:pPr>
          </w:p>
          <w:p>
            <w:pPr>
              <w:spacing w:line="360" w:lineRule="auto"/>
              <w:rPr>
                <w:rFonts w:hAnsi="宋体"/>
                <w:lang w:eastAsia="zh-CN"/>
              </w:rPr>
            </w:pPr>
          </w:p>
          <w:p>
            <w:pPr>
              <w:spacing w:line="360" w:lineRule="auto"/>
            </w:pPr>
            <w:r>
              <w:rPr>
                <w:rFonts w:hint="eastAsia"/>
              </w:rPr>
              <w:t>措施的策划</w:t>
            </w:r>
          </w:p>
        </w:tc>
        <w:tc>
          <w:tcPr>
            <w:tcW w:w="1166" w:type="dxa"/>
          </w:tcPr>
          <w:p>
            <w:pPr>
              <w:spacing w:line="360" w:lineRule="auto"/>
              <w:rPr>
                <w:b/>
              </w:rPr>
            </w:pPr>
            <w:r>
              <w:rPr>
                <w:b/>
                <w:bCs/>
              </w:rPr>
              <w:t>EO</w:t>
            </w:r>
            <w:r>
              <w:rPr>
                <w:b/>
              </w:rPr>
              <w:t>6.1.2</w:t>
            </w:r>
          </w:p>
          <w:p>
            <w:pPr>
              <w:rPr>
                <w:b/>
                <w:bCs/>
              </w:rPr>
            </w:pPr>
          </w:p>
          <w:p/>
          <w:p/>
          <w:p/>
          <w:p/>
          <w:p/>
          <w:p/>
          <w:p/>
          <w:p>
            <w:pPr>
              <w:spacing w:line="360" w:lineRule="auto"/>
              <w:rPr>
                <w:b/>
              </w:rPr>
            </w:pPr>
            <w:r>
              <w:rPr>
                <w:b/>
                <w:bCs/>
              </w:rPr>
              <w:t>EO</w:t>
            </w:r>
            <w:r>
              <w:rPr>
                <w:b/>
              </w:rPr>
              <w:t>6.1.</w:t>
            </w:r>
            <w:r>
              <w:rPr>
                <w:rFonts w:hint="eastAsia"/>
                <w:b/>
              </w:rPr>
              <w:t>4</w:t>
            </w:r>
          </w:p>
          <w:p/>
        </w:tc>
        <w:tc>
          <w:tcPr>
            <w:tcW w:w="10738" w:type="dxa"/>
          </w:tcPr>
          <w:p>
            <w:pPr>
              <w:spacing w:beforeLines="30" w:afterLines="30" w:line="288" w:lineRule="auto"/>
              <w:ind w:firstLine="480" w:firstLineChars="200"/>
              <w:rPr>
                <w:rFonts w:hAnsiTheme="minorEastAsia"/>
                <w:lang w:eastAsia="zh-CN"/>
              </w:rPr>
            </w:pPr>
            <w:r>
              <w:rPr>
                <w:rFonts w:hAnsiTheme="minorEastAsia"/>
                <w:lang w:eastAsia="zh-CN"/>
              </w:rPr>
              <w:t>生产部部长聂云清述：</w:t>
            </w:r>
          </w:p>
          <w:p>
            <w:pPr>
              <w:spacing w:beforeLines="30" w:afterLines="30" w:line="288" w:lineRule="auto"/>
              <w:ind w:firstLine="480" w:firstLineChars="200"/>
              <w:rPr>
                <w:rFonts w:hAnsiTheme="minorEastAsia"/>
                <w:lang w:eastAsia="zh-CN"/>
              </w:rPr>
            </w:pPr>
            <w:r>
              <w:rPr>
                <w:rFonts w:hAnsiTheme="minorEastAsia"/>
                <w:lang w:eastAsia="zh-CN"/>
              </w:rPr>
              <w:t>公司制订《</w:t>
            </w:r>
            <w:r>
              <w:rPr>
                <w:rFonts w:hint="eastAsia" w:hAnsiTheme="minorEastAsia"/>
                <w:lang w:eastAsia="zh-CN"/>
              </w:rPr>
              <w:t>环境因素和危险源识别评价与控制程序</w:t>
            </w:r>
            <w:r>
              <w:rPr>
                <w:rFonts w:hAnsiTheme="minorEastAsia"/>
                <w:lang w:eastAsia="zh-CN"/>
              </w:rPr>
              <w:t>》，生产部</w:t>
            </w:r>
            <w:r>
              <w:rPr>
                <w:rFonts w:hint="eastAsia" w:hAnsiTheme="minorEastAsia"/>
                <w:lang w:eastAsia="zh-CN"/>
              </w:rPr>
              <w:t>城市公共交通亭（棚）、广告棚（牌）、旅游咨询亭、治安亭（棚）、户外各类收费亭、报刊亭的生产</w:t>
            </w:r>
            <w:r>
              <w:rPr>
                <w:rFonts w:hAnsiTheme="minorEastAsia"/>
                <w:lang w:eastAsia="zh-CN"/>
              </w:rPr>
              <w:t>、进料、办公、销售等过程工作特点对涉及的环境因素、危险源进行了识别和辨识。</w:t>
            </w:r>
          </w:p>
          <w:p>
            <w:pPr>
              <w:spacing w:beforeLines="30" w:afterLines="30" w:line="288" w:lineRule="auto"/>
              <w:ind w:firstLine="480" w:firstLineChars="200"/>
              <w:rPr>
                <w:rFonts w:hAnsiTheme="minorEastAsia"/>
                <w:lang w:eastAsia="zh-CN"/>
              </w:rPr>
            </w:pPr>
            <w:r>
              <w:rPr>
                <w:rFonts w:hAnsiTheme="minorEastAsia"/>
                <w:lang w:eastAsia="zh-CN"/>
              </w:rPr>
              <w:t>在公司编制的”环境因素识别与评价控制程序”中，对环境因素识别和评价的目的、职责、工作程序和记录的要求均有明确的规定。</w:t>
            </w:r>
          </w:p>
          <w:p>
            <w:pPr>
              <w:spacing w:beforeLines="30" w:afterLines="30" w:line="288" w:lineRule="auto"/>
              <w:ind w:firstLine="480" w:firstLineChars="200"/>
              <w:rPr>
                <w:rFonts w:hAnsiTheme="minorEastAsia"/>
                <w:lang w:eastAsia="zh-CN"/>
              </w:rPr>
            </w:pPr>
            <w:r>
              <w:rPr>
                <w:rFonts w:hAnsiTheme="minorEastAsia"/>
                <w:lang w:eastAsia="zh-CN"/>
              </w:rPr>
              <w:t>查到《环境因素识别评价表》：已识别生产部的环境因素产生过程包括：剪切开料、冲压、模压折弯、钻孔、打磨、皮膜、喷涂、组装、能源消耗、用电不当、生产垃圾等过程中粉尘的排放，噪声的排放，能源的消耗，废水、废渣的排放、固废的废弃等，在环境评价过程中考虑到环境影响、三种时态和三种状态等。使用分级评分的方式。基本合理。</w:t>
            </w:r>
          </w:p>
          <w:p>
            <w:pPr>
              <w:spacing w:beforeLines="30" w:afterLines="30" w:line="288" w:lineRule="auto"/>
              <w:ind w:firstLine="480" w:firstLineChars="200"/>
              <w:rPr>
                <w:rFonts w:hAnsiTheme="minorEastAsia"/>
                <w:lang w:eastAsia="zh-CN"/>
              </w:rPr>
            </w:pPr>
            <w:r>
              <w:rPr>
                <w:rFonts w:hAnsiTheme="minorEastAsia"/>
                <w:lang w:eastAsia="zh-CN"/>
              </w:rPr>
              <w:t>查到《重要环境因素清单》已识别重要环境因素包括：</w:t>
            </w:r>
            <w:r>
              <w:rPr>
                <w:rFonts w:hint="eastAsia" w:hAnsiTheme="minorEastAsia"/>
                <w:lang w:eastAsia="zh-CN"/>
              </w:rPr>
              <w:t>潜在火灾/爆炸，噪音排放、废气/粉尘排放、固废排放</w:t>
            </w:r>
            <w:r>
              <w:rPr>
                <w:rFonts w:hAnsiTheme="minorEastAsia"/>
                <w:lang w:eastAsia="zh-CN"/>
              </w:rPr>
              <w:t>，明确控制措施和责任部门，基本合理。</w:t>
            </w:r>
          </w:p>
          <w:p>
            <w:pPr>
              <w:spacing w:beforeLines="30" w:afterLines="30" w:line="288" w:lineRule="auto"/>
              <w:ind w:firstLine="480" w:firstLineChars="200"/>
              <w:rPr>
                <w:rFonts w:hAnsiTheme="minorEastAsia"/>
                <w:lang w:eastAsia="zh-CN"/>
              </w:rPr>
            </w:pPr>
            <w:r>
              <w:rPr>
                <w:rFonts w:hAnsiTheme="minorEastAsia"/>
                <w:lang w:eastAsia="zh-CN"/>
              </w:rPr>
              <w:t>参加环境因素辨识和评价人员：</w:t>
            </w:r>
            <w:r>
              <w:rPr>
                <w:rFonts w:hint="eastAsia" w:hAnsiTheme="minorEastAsia"/>
                <w:lang w:eastAsia="zh-CN"/>
              </w:rPr>
              <w:t xml:space="preserve">傅志远、聂云清、黄涛 </w:t>
            </w:r>
            <w:r>
              <w:rPr>
                <w:rFonts w:hAnsiTheme="minorEastAsia"/>
                <w:lang w:eastAsia="zh-CN"/>
              </w:rPr>
              <w:t xml:space="preserve">        时间：20</w:t>
            </w:r>
            <w:r>
              <w:rPr>
                <w:rFonts w:hint="eastAsia" w:hAnsiTheme="minorEastAsia"/>
                <w:lang w:eastAsia="zh-CN"/>
              </w:rPr>
              <w:t>20</w:t>
            </w:r>
            <w:r>
              <w:rPr>
                <w:rFonts w:hAnsiTheme="minorEastAsia"/>
                <w:lang w:eastAsia="zh-CN"/>
              </w:rPr>
              <w:t>年12月5日</w:t>
            </w:r>
          </w:p>
          <w:p>
            <w:pPr>
              <w:spacing w:beforeLines="30" w:afterLines="30" w:line="288" w:lineRule="auto"/>
              <w:ind w:firstLine="480" w:firstLineChars="200"/>
              <w:rPr>
                <w:rFonts w:hAnsiTheme="minorEastAsia"/>
                <w:lang w:eastAsia="zh-CN"/>
              </w:rPr>
            </w:pPr>
            <w:r>
              <w:rPr>
                <w:rFonts w:hint="eastAsia" w:hAnsiTheme="minorEastAsia"/>
                <w:lang w:eastAsia="zh-CN"/>
              </w:rPr>
              <w:t>控制措施：固废集中收集外售；危废委托有资质单位回收；选用低噪声设备，合理布局，隔声减震，厂房隔音；气瓶摆放规范，放置稳固；设备、电路定期检修、不定期检查，提高安全意识；做好火灾预防措施。一旦发生按相关应急预案执行；制定目标、指标；设备、电路定期检修、降低跑冒滴漏。</w:t>
            </w:r>
          </w:p>
          <w:p>
            <w:pPr>
              <w:spacing w:beforeLines="30" w:afterLines="30" w:line="288" w:lineRule="auto"/>
              <w:ind w:firstLine="480" w:firstLineChars="200"/>
              <w:rPr>
                <w:rFonts w:hAnsiTheme="minorEastAsia"/>
                <w:lang w:eastAsia="zh-CN"/>
              </w:rPr>
            </w:pPr>
            <w:r>
              <w:rPr>
                <w:rFonts w:hAnsiTheme="minorEastAsia"/>
                <w:lang w:eastAsia="zh-CN"/>
              </w:rPr>
              <w:t>查到《危险源辨识与评价一览表》，内容有：作业活动名称、潜在危险因素、时态、状态、可导致事故、可采取控制措施、危险发生的可能性L、损失后果C、频繁程度E、等。识别出生产部危险源有：触电、火灾、机械伤害、听力损害、爆炸、高空坠落、中毒、职业病、人身伤害等。优先控制风险采用“LEC”方法进行评价。提供《不可接受风险清单》有：</w:t>
            </w:r>
            <w:r>
              <w:rPr>
                <w:rFonts w:hint="eastAsia" w:hAnsiTheme="minorEastAsia"/>
                <w:lang w:eastAsia="zh-CN"/>
              </w:rPr>
              <w:t>火灾，触电、粉尘/吸入性伤害、噪声伤害、机械伤害等</w:t>
            </w:r>
            <w:r>
              <w:rPr>
                <w:rFonts w:hAnsiTheme="minorEastAsia"/>
                <w:lang w:eastAsia="zh-CN"/>
              </w:rPr>
              <w:t>，并制定有控制措施。</w:t>
            </w:r>
          </w:p>
          <w:p>
            <w:pPr>
              <w:spacing w:beforeLines="30" w:afterLines="30" w:line="288" w:lineRule="auto"/>
              <w:ind w:firstLine="480" w:firstLineChars="200"/>
              <w:rPr>
                <w:rFonts w:hAnsiTheme="minorEastAsia"/>
                <w:lang w:eastAsia="zh-CN"/>
              </w:rPr>
            </w:pPr>
            <w:r>
              <w:rPr>
                <w:rFonts w:hAnsiTheme="minorEastAsia"/>
                <w:lang w:eastAsia="zh-CN"/>
              </w:rPr>
              <w:t>评价人员：傅志远、聂云清、黄涛        时间：201</w:t>
            </w:r>
            <w:r>
              <w:rPr>
                <w:rFonts w:hint="eastAsia" w:hAnsiTheme="minorEastAsia"/>
                <w:lang w:eastAsia="zh-CN"/>
              </w:rPr>
              <w:t>0</w:t>
            </w:r>
            <w:r>
              <w:rPr>
                <w:rFonts w:hAnsiTheme="minorEastAsia"/>
                <w:lang w:eastAsia="zh-CN"/>
              </w:rPr>
              <w:t>年12月5日。</w:t>
            </w:r>
          </w:p>
          <w:p>
            <w:pPr>
              <w:snapToGrid w:val="0"/>
              <w:spacing w:beforeLines="30" w:afterLines="30" w:line="288" w:lineRule="auto"/>
              <w:ind w:right="392" w:firstLine="480" w:firstLineChars="200"/>
              <w:rPr>
                <w:color w:val="FF0000"/>
              </w:rPr>
            </w:pPr>
            <w:r>
              <w:rPr>
                <w:rFonts w:hint="eastAsia" w:hAnsiTheme="minorEastAsia"/>
                <w:lang w:eastAsia="zh-CN"/>
              </w:rPr>
              <w:t>控制措施：选用低噪声设备，合理布局，隔声减震；设备加防护罩、设备/电路定期检修、不定期检查，提高安全意识；做好火灾/爆炸/触电等预防措施。一旦发生按相关应急预案执行；加强个体防护。</w:t>
            </w:r>
            <w:r>
              <w:rPr>
                <w:rFonts w:hAnsi="宋体"/>
              </w:rPr>
              <w:t>基本适宜，具体见</w:t>
            </w:r>
            <w:r>
              <w:t>EO8.1</w:t>
            </w:r>
            <w:r>
              <w:rPr>
                <w:rFonts w:hAnsi="宋体"/>
              </w:rPr>
              <w:t>条款。</w:t>
            </w:r>
          </w:p>
        </w:tc>
        <w:tc>
          <w:tcPr>
            <w:tcW w:w="851"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954" w:type="dxa"/>
          </w:tcPr>
          <w:p>
            <w:pPr>
              <w:spacing w:line="360" w:lineRule="auto"/>
            </w:pPr>
            <w:r>
              <w:rPr>
                <w:rFonts w:hAnsi="宋体"/>
              </w:rPr>
              <w:t>目标</w:t>
            </w:r>
          </w:p>
          <w:p>
            <w:pPr>
              <w:spacing w:line="360" w:lineRule="auto"/>
            </w:pPr>
          </w:p>
        </w:tc>
        <w:tc>
          <w:tcPr>
            <w:tcW w:w="1166" w:type="dxa"/>
          </w:tcPr>
          <w:p>
            <w:pPr>
              <w:spacing w:line="360" w:lineRule="auto"/>
              <w:rPr>
                <w:bCs/>
              </w:rPr>
            </w:pPr>
            <w:r>
              <w:rPr>
                <w:b/>
                <w:bCs/>
              </w:rPr>
              <w:t>QEO</w:t>
            </w:r>
            <w:r>
              <w:rPr>
                <w:b/>
              </w:rPr>
              <w:t>6.2</w:t>
            </w:r>
          </w:p>
          <w:p>
            <w:pPr>
              <w:spacing w:line="360" w:lineRule="auto"/>
              <w:rPr>
                <w:bCs/>
              </w:rPr>
            </w:pPr>
          </w:p>
          <w:p>
            <w:pPr>
              <w:spacing w:line="360" w:lineRule="auto"/>
            </w:pPr>
          </w:p>
        </w:tc>
        <w:tc>
          <w:tcPr>
            <w:tcW w:w="10738" w:type="dxa"/>
          </w:tcPr>
          <w:p>
            <w:pPr>
              <w:spacing w:beforeLines="30" w:afterLines="30" w:line="300" w:lineRule="exact"/>
              <w:ind w:firstLine="480" w:firstLineChars="200"/>
              <w:rPr>
                <w:lang w:eastAsia="zh-CN"/>
              </w:rPr>
            </w:pPr>
            <w:r>
              <w:rPr>
                <w:rFonts w:hAnsi="宋体"/>
                <w:lang w:eastAsia="zh-CN"/>
              </w:rPr>
              <w:t>查有公司公司级管理目标，并按照部门对目标进行分解，有目标管理管理规定，规定了目标的分解及考核的具体方法。</w:t>
            </w:r>
          </w:p>
          <w:p>
            <w:pPr>
              <w:spacing w:beforeLines="30" w:afterLines="30" w:line="300" w:lineRule="exact"/>
              <w:ind w:firstLine="480" w:firstLineChars="200"/>
              <w:rPr>
                <w:lang w:eastAsia="zh-CN"/>
              </w:rPr>
            </w:pPr>
            <w:r>
              <w:rPr>
                <w:rFonts w:hint="eastAsia"/>
                <w:lang w:eastAsia="zh-CN"/>
              </w:rPr>
              <w:t xml:space="preserve">生产部目标                                                </w:t>
            </w:r>
          </w:p>
          <w:p>
            <w:pPr>
              <w:spacing w:beforeLines="30" w:afterLines="30" w:line="300" w:lineRule="exact"/>
              <w:ind w:firstLine="480" w:firstLineChars="200"/>
              <w:rPr>
                <w:lang w:eastAsia="zh-CN"/>
              </w:rPr>
            </w:pPr>
            <w:r>
              <w:rPr>
                <w:rFonts w:hint="eastAsia"/>
                <w:lang w:eastAsia="zh-CN"/>
              </w:rPr>
              <w:t>确保生产设备完好率90%以上</w:t>
            </w:r>
          </w:p>
          <w:p>
            <w:pPr>
              <w:spacing w:beforeLines="30" w:afterLines="30" w:line="300" w:lineRule="exact"/>
              <w:ind w:firstLine="480" w:firstLineChars="200"/>
              <w:rPr>
                <w:lang w:eastAsia="zh-CN"/>
              </w:rPr>
            </w:pPr>
            <w:r>
              <w:rPr>
                <w:rFonts w:hint="eastAsia"/>
                <w:lang w:eastAsia="zh-CN"/>
              </w:rPr>
              <w:t>员工重大伤亡事故为零、职业病发病率为0</w:t>
            </w:r>
          </w:p>
          <w:p>
            <w:pPr>
              <w:spacing w:beforeLines="30" w:afterLines="30" w:line="300" w:lineRule="exact"/>
              <w:ind w:firstLine="480" w:firstLineChars="200"/>
              <w:rPr>
                <w:lang w:eastAsia="zh-CN"/>
              </w:rPr>
            </w:pPr>
            <w:r>
              <w:rPr>
                <w:rFonts w:hint="eastAsia"/>
                <w:lang w:eastAsia="zh-CN"/>
              </w:rPr>
              <w:t>火灾、爆炸事故为0；</w:t>
            </w:r>
          </w:p>
          <w:p>
            <w:pPr>
              <w:spacing w:beforeLines="30" w:afterLines="30" w:line="300" w:lineRule="exact"/>
              <w:ind w:firstLine="480" w:firstLineChars="200"/>
              <w:rPr>
                <w:lang w:eastAsia="zh-CN"/>
              </w:rPr>
            </w:pPr>
            <w:r>
              <w:rPr>
                <w:rFonts w:hint="eastAsia"/>
                <w:lang w:eastAsia="zh-CN"/>
              </w:rPr>
              <w:t>固体废弃物（含危废）分类处置率100%；</w:t>
            </w:r>
          </w:p>
          <w:p>
            <w:pPr>
              <w:spacing w:beforeLines="30" w:afterLines="30" w:line="300" w:lineRule="exact"/>
              <w:ind w:firstLine="480" w:firstLineChars="200"/>
              <w:rPr>
                <w:lang w:eastAsia="zh-CN"/>
              </w:rPr>
            </w:pPr>
            <w:r>
              <w:rPr>
                <w:rFonts w:hint="eastAsia"/>
                <w:lang w:eastAsia="zh-CN"/>
              </w:rPr>
              <w:t>噪声排放不扰民，民众投诉为0.</w:t>
            </w:r>
          </w:p>
          <w:p>
            <w:pPr>
              <w:spacing w:beforeLines="30" w:afterLines="30" w:line="300" w:lineRule="exact"/>
              <w:ind w:firstLine="480" w:firstLineChars="200"/>
              <w:rPr>
                <w:lang w:eastAsia="zh-CN"/>
              </w:rPr>
            </w:pPr>
            <w:r>
              <w:rPr>
                <w:rFonts w:hint="eastAsia"/>
                <w:lang w:eastAsia="zh-CN"/>
              </w:rPr>
              <w:t>产品出厂合格率100%</w:t>
            </w:r>
          </w:p>
          <w:p>
            <w:pPr>
              <w:spacing w:beforeLines="30" w:afterLines="30" w:line="300" w:lineRule="exact"/>
              <w:ind w:firstLine="480" w:firstLineChars="200"/>
              <w:rPr>
                <w:lang w:eastAsia="zh-CN"/>
              </w:rPr>
            </w:pPr>
            <w:r>
              <w:rPr>
                <w:rFonts w:hint="eastAsia"/>
                <w:lang w:eastAsia="zh-CN"/>
              </w:rPr>
              <w:t>生产工艺执行率100%</w:t>
            </w:r>
          </w:p>
          <w:p>
            <w:pPr>
              <w:spacing w:beforeLines="30" w:afterLines="30" w:line="300" w:lineRule="exact"/>
              <w:ind w:firstLine="480" w:firstLineChars="200"/>
              <w:rPr>
                <w:lang w:eastAsia="zh-CN"/>
              </w:rPr>
            </w:pPr>
            <w:r>
              <w:rPr>
                <w:rFonts w:hint="eastAsia"/>
                <w:lang w:eastAsia="zh-CN"/>
              </w:rPr>
              <w:t>粉尘达标排放率100%；废气达标排放率100%</w:t>
            </w:r>
          </w:p>
          <w:p>
            <w:pPr>
              <w:spacing w:beforeLines="30" w:afterLines="30" w:line="300" w:lineRule="exact"/>
              <w:ind w:firstLine="480" w:firstLineChars="200"/>
              <w:rPr>
                <w:lang w:eastAsia="zh-CN"/>
              </w:rPr>
            </w:pPr>
            <w:r>
              <w:rPr>
                <w:rFonts w:hAnsi="宋体"/>
                <w:lang w:eastAsia="zh-CN"/>
              </w:rPr>
              <w:t>与方针一致，符合公司总的质量、环境、职业健康安全目标，</w:t>
            </w:r>
            <w:r>
              <w:rPr>
                <w:lang w:eastAsia="zh-CN"/>
              </w:rPr>
              <w:t>2020</w:t>
            </w:r>
            <w:r>
              <w:rPr>
                <w:rFonts w:hAnsi="宋体"/>
                <w:lang w:eastAsia="zh-CN"/>
              </w:rPr>
              <w:t>年</w:t>
            </w:r>
            <w:r>
              <w:rPr>
                <w:rFonts w:hint="eastAsia"/>
                <w:lang w:eastAsia="zh-CN"/>
              </w:rPr>
              <w:t>12</w:t>
            </w:r>
            <w:r>
              <w:rPr>
                <w:rFonts w:hAnsi="宋体"/>
                <w:lang w:eastAsia="zh-CN"/>
              </w:rPr>
              <w:t>月</w:t>
            </w:r>
            <w:r>
              <w:rPr>
                <w:lang w:eastAsia="zh-CN"/>
              </w:rPr>
              <w:t>1</w:t>
            </w:r>
            <w:r>
              <w:rPr>
                <w:rFonts w:hAnsi="宋体"/>
                <w:lang w:eastAsia="zh-CN"/>
              </w:rPr>
              <w:t>日，各部门均已达成。</w:t>
            </w:r>
          </w:p>
        </w:tc>
        <w:tc>
          <w:tcPr>
            <w:tcW w:w="851"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9" w:hRule="atLeast"/>
        </w:trPr>
        <w:tc>
          <w:tcPr>
            <w:tcW w:w="1954" w:type="dxa"/>
          </w:tcPr>
          <w:p>
            <w:pPr>
              <w:pStyle w:val="20"/>
              <w:spacing w:line="360" w:lineRule="auto"/>
              <w:ind w:firstLine="0" w:firstLineChars="0"/>
              <w:jc w:val="both"/>
              <w:rPr>
                <w:rFonts w:ascii="Times New Roman" w:hAnsi="Times New Roman" w:eastAsia="宋体"/>
                <w:color w:val="auto"/>
                <w:sz w:val="24"/>
              </w:rPr>
            </w:pPr>
            <w:r>
              <w:rPr>
                <w:rFonts w:ascii="Times New Roman" w:eastAsia="宋体"/>
                <w:bCs/>
                <w:color w:val="auto"/>
                <w:sz w:val="24"/>
              </w:rPr>
              <w:t>基础设施</w:t>
            </w:r>
          </w:p>
        </w:tc>
        <w:tc>
          <w:tcPr>
            <w:tcW w:w="1166" w:type="dxa"/>
          </w:tcPr>
          <w:p>
            <w:pPr>
              <w:pStyle w:val="20"/>
              <w:spacing w:line="360" w:lineRule="auto"/>
              <w:ind w:firstLine="0" w:firstLineChars="0"/>
              <w:rPr>
                <w:rFonts w:ascii="Times New Roman" w:hAnsi="Times New Roman" w:eastAsia="宋体"/>
                <w:color w:val="auto"/>
                <w:sz w:val="24"/>
              </w:rPr>
            </w:pPr>
            <w:r>
              <w:rPr>
                <w:rFonts w:ascii="Times New Roman" w:hAnsi="Times New Roman" w:eastAsia="宋体"/>
                <w:bCs/>
                <w:color w:val="auto"/>
                <w:sz w:val="24"/>
              </w:rPr>
              <w:t>Q7.1.3</w:t>
            </w:r>
          </w:p>
        </w:tc>
        <w:tc>
          <w:tcPr>
            <w:tcW w:w="10738" w:type="dxa"/>
          </w:tcPr>
          <w:p>
            <w:pPr>
              <w:spacing w:beforeLines="30" w:afterLines="30" w:line="288" w:lineRule="auto"/>
              <w:ind w:firstLine="480" w:firstLineChars="200"/>
              <w:rPr>
                <w:lang w:eastAsia="zh-CN"/>
              </w:rPr>
            </w:pPr>
            <w:r>
              <w:rPr>
                <w:rFonts w:hint="eastAsia" w:hAnsiTheme="minorEastAsia"/>
                <w:lang w:eastAsia="zh-CN"/>
              </w:rPr>
              <w:t>1、</w:t>
            </w:r>
            <w:r>
              <w:rPr>
                <w:rFonts w:hAnsiTheme="minorEastAsia"/>
                <w:lang w:eastAsia="zh-CN"/>
              </w:rPr>
              <w:t>公司为确保质量、环境管理体系的建立、实施和改进需要，提供并配备主要生产设备包括</w:t>
            </w:r>
            <w:r>
              <w:rPr>
                <w:rFonts w:hint="eastAsia"/>
                <w:lang w:eastAsia="zh-CN"/>
              </w:rPr>
              <w:t>剪板机、激光切割机、喷塑线、切割机、冲床、折弯机、电焊机、CO2气体保护焊机、台式钻床</w:t>
            </w:r>
            <w:r>
              <w:rPr>
                <w:rFonts w:hAnsiTheme="minorEastAsia"/>
                <w:lang w:eastAsia="zh-CN"/>
              </w:rPr>
              <w:t>等生产设备；</w:t>
            </w:r>
            <w:r>
              <w:rPr>
                <w:rFonts w:hint="eastAsia" w:hAnsiTheme="minorEastAsia"/>
                <w:lang w:eastAsia="zh-CN"/>
              </w:rPr>
              <w:t>游标卡尺、数显千分尺、电子吊钩秤、涂层测厚仪</w:t>
            </w:r>
            <w:r>
              <w:rPr>
                <w:rFonts w:hAnsiTheme="minorEastAsia"/>
                <w:lang w:eastAsia="zh-CN"/>
              </w:rPr>
              <w:t>等监视测量设备；以及灭火器、消防栓、污水处理设备等环保辅助设备</w:t>
            </w:r>
            <w:r>
              <w:rPr>
                <w:lang w:eastAsia="zh-CN"/>
              </w:rPr>
              <w:t>/</w:t>
            </w:r>
            <w:r>
              <w:rPr>
                <w:rFonts w:hAnsiTheme="minorEastAsia"/>
                <w:lang w:eastAsia="zh-CN"/>
              </w:rPr>
              <w:t>设施。现有基础设施配备较充分、齐全，满足日常经营和管理体系的实施和改进需要。</w:t>
            </w:r>
          </w:p>
          <w:p>
            <w:pPr>
              <w:spacing w:beforeLines="30" w:afterLines="30" w:line="288" w:lineRule="auto"/>
              <w:ind w:firstLine="480" w:firstLineChars="200"/>
              <w:rPr>
                <w:rFonts w:hAnsiTheme="minorEastAsia"/>
                <w:lang w:eastAsia="zh-CN"/>
              </w:rPr>
            </w:pPr>
            <w:r>
              <w:rPr>
                <w:rFonts w:hAnsiTheme="minorEastAsia"/>
                <w:lang w:eastAsia="zh-CN"/>
              </w:rPr>
              <w:t>各设备进行了维护保养，张贴于机上，</w:t>
            </w:r>
            <w:r>
              <w:rPr>
                <w:rFonts w:hint="eastAsia" w:hAnsiTheme="minorEastAsia"/>
                <w:lang w:eastAsia="zh-CN"/>
              </w:rPr>
              <w:t>按日/周/月/</w:t>
            </w:r>
            <w:r>
              <w:rPr>
                <w:rFonts w:hAnsiTheme="minorEastAsia"/>
                <w:lang w:eastAsia="zh-CN"/>
              </w:rPr>
              <w:t>进行设备保养。查看各设备维护保养记录，未出现设备不良情况。</w:t>
            </w:r>
          </w:p>
          <w:p>
            <w:pPr>
              <w:spacing w:beforeLines="30" w:afterLines="30" w:line="300" w:lineRule="exact"/>
              <w:ind w:firstLine="480" w:firstLineChars="200"/>
              <w:rPr>
                <w:rFonts w:hAnsi="宋体"/>
                <w:lang w:eastAsia="zh-CN"/>
              </w:rPr>
            </w:pPr>
            <w:r>
              <w:rPr>
                <w:rFonts w:hint="eastAsia" w:hAnsi="宋体"/>
                <w:lang w:eastAsia="zh-CN"/>
              </w:rPr>
              <w:t>2、</w:t>
            </w:r>
            <w:r>
              <w:rPr>
                <w:rFonts w:hAnsi="宋体"/>
                <w:lang w:eastAsia="zh-CN"/>
              </w:rPr>
              <w:t>查看公司特种设备：使用行车、储气罐；</w:t>
            </w:r>
          </w:p>
          <w:p>
            <w:pPr>
              <w:spacing w:beforeLines="30" w:afterLines="30" w:line="300" w:lineRule="exact"/>
              <w:ind w:firstLine="480" w:firstLineChars="200"/>
              <w:rPr>
                <w:rFonts w:hAnsi="宋体"/>
                <w:lang w:eastAsia="zh-CN"/>
              </w:rPr>
            </w:pPr>
            <w:r>
              <w:rPr>
                <w:rFonts w:hint="eastAsia" w:hAnsi="宋体"/>
                <w:lang w:eastAsia="zh-CN"/>
              </w:rPr>
              <w:t>行车</w:t>
            </w:r>
            <w:r>
              <w:rPr>
                <w:rFonts w:hAnsi="宋体"/>
                <w:lang w:eastAsia="zh-CN"/>
              </w:rPr>
              <w:t>进行了年检，在有效期内；具体报告见附件。提供了储气罐附件安全阀、压力表的年检报告，在有效期内，具体报告见附件。符合要求。</w:t>
            </w:r>
          </w:p>
          <w:p>
            <w:pPr>
              <w:spacing w:beforeLines="30" w:afterLines="30" w:line="300" w:lineRule="exact"/>
              <w:ind w:firstLine="480" w:firstLineChars="200"/>
              <w:rPr>
                <w:lang w:eastAsia="zh-CN"/>
              </w:rPr>
            </w:pPr>
            <w:r>
              <w:rPr>
                <w:rFonts w:hAnsi="宋体"/>
                <w:lang w:eastAsia="zh-CN"/>
              </w:rPr>
              <w:t>现场观察到上述生产设备及辅助设备运行状态正常。</w:t>
            </w:r>
          </w:p>
        </w:tc>
        <w:tc>
          <w:tcPr>
            <w:tcW w:w="851"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trPr>
        <w:tc>
          <w:tcPr>
            <w:tcW w:w="1954" w:type="dxa"/>
          </w:tcPr>
          <w:p>
            <w:pPr>
              <w:pStyle w:val="20"/>
              <w:spacing w:line="360" w:lineRule="auto"/>
              <w:ind w:firstLine="0" w:firstLineChars="0"/>
              <w:rPr>
                <w:rFonts w:ascii="Times New Roman" w:hAnsi="Times New Roman" w:eastAsia="宋体"/>
                <w:color w:val="auto"/>
                <w:sz w:val="24"/>
              </w:rPr>
            </w:pPr>
            <w:r>
              <w:rPr>
                <w:rFonts w:ascii="Times New Roman" w:eastAsia="宋体"/>
                <w:bCs/>
                <w:color w:val="auto"/>
                <w:sz w:val="24"/>
              </w:rPr>
              <w:t>过程运行环境</w:t>
            </w:r>
          </w:p>
        </w:tc>
        <w:tc>
          <w:tcPr>
            <w:tcW w:w="1166" w:type="dxa"/>
          </w:tcPr>
          <w:p>
            <w:pPr>
              <w:pStyle w:val="20"/>
              <w:spacing w:line="360" w:lineRule="auto"/>
              <w:ind w:firstLine="0" w:firstLineChars="0"/>
              <w:rPr>
                <w:rFonts w:ascii="Times New Roman" w:hAnsi="Times New Roman" w:eastAsia="宋体"/>
                <w:b/>
                <w:color w:val="auto"/>
                <w:sz w:val="24"/>
              </w:rPr>
            </w:pPr>
            <w:r>
              <w:rPr>
                <w:rFonts w:ascii="Times New Roman" w:hAnsi="Times New Roman" w:eastAsia="宋体"/>
                <w:b/>
                <w:bCs/>
                <w:color w:val="auto"/>
                <w:sz w:val="24"/>
              </w:rPr>
              <w:t>Q</w:t>
            </w:r>
            <w:r>
              <w:rPr>
                <w:rFonts w:ascii="Times New Roman" w:hAnsi="Times New Roman" w:eastAsia="宋体"/>
                <w:b/>
                <w:color w:val="auto"/>
                <w:sz w:val="24"/>
              </w:rPr>
              <w:t>7.1.4</w:t>
            </w:r>
          </w:p>
          <w:p>
            <w:pPr>
              <w:pStyle w:val="20"/>
              <w:spacing w:line="360" w:lineRule="auto"/>
              <w:ind w:firstLine="0" w:firstLineChars="0"/>
              <w:rPr>
                <w:rFonts w:ascii="Times New Roman" w:hAnsi="Times New Roman" w:eastAsia="宋体"/>
                <w:color w:val="auto"/>
                <w:sz w:val="24"/>
              </w:rPr>
            </w:pPr>
          </w:p>
        </w:tc>
        <w:tc>
          <w:tcPr>
            <w:tcW w:w="10738" w:type="dxa"/>
          </w:tcPr>
          <w:p>
            <w:pPr>
              <w:pStyle w:val="20"/>
              <w:spacing w:beforeLines="30" w:afterLines="30" w:line="300" w:lineRule="exact"/>
              <w:ind w:firstLine="480"/>
              <w:rPr>
                <w:rFonts w:ascii="Times New Roman" w:hAnsi="Times New Roman" w:eastAsia="宋体"/>
                <w:color w:val="auto"/>
                <w:sz w:val="24"/>
                <w:lang w:eastAsia="zh-CN"/>
              </w:rPr>
            </w:pPr>
            <w:r>
              <w:rPr>
                <w:rFonts w:ascii="Times New Roman" w:eastAsia="宋体"/>
                <w:color w:val="auto"/>
                <w:sz w:val="24"/>
                <w:lang w:eastAsia="zh-CN"/>
              </w:rPr>
              <w:t>现场观察办公区、生产车间环境卫生管理，工作场所布局合理，温湿度适宜，照明良好，满足办公需求。有</w:t>
            </w:r>
            <w:r>
              <w:rPr>
                <w:rFonts w:ascii="Times New Roman" w:hAnsi="Times New Roman" w:eastAsia="宋体"/>
                <w:color w:val="auto"/>
                <w:sz w:val="24"/>
                <w:lang w:eastAsia="zh-CN"/>
              </w:rPr>
              <w:t>“</w:t>
            </w:r>
            <w:r>
              <w:rPr>
                <w:rFonts w:ascii="Times New Roman" w:eastAsia="宋体"/>
                <w:color w:val="auto"/>
                <w:sz w:val="24"/>
                <w:lang w:eastAsia="zh-CN"/>
              </w:rPr>
              <w:t>办公环境卫生管理制度</w:t>
            </w:r>
            <w:r>
              <w:rPr>
                <w:rFonts w:ascii="Times New Roman" w:hAnsi="Times New Roman" w:eastAsia="宋体"/>
                <w:color w:val="auto"/>
                <w:sz w:val="24"/>
                <w:lang w:eastAsia="zh-CN"/>
              </w:rPr>
              <w:t>”</w:t>
            </w:r>
            <w:r>
              <w:rPr>
                <w:rFonts w:ascii="Times New Roman" w:eastAsia="宋体"/>
                <w:color w:val="auto"/>
                <w:sz w:val="24"/>
                <w:lang w:eastAsia="zh-CN"/>
              </w:rPr>
              <w:t>、</w:t>
            </w:r>
            <w:r>
              <w:rPr>
                <w:rFonts w:ascii="Times New Roman" w:hAnsi="Times New Roman" w:eastAsia="宋体"/>
                <w:color w:val="auto"/>
                <w:sz w:val="24"/>
                <w:lang w:eastAsia="zh-CN"/>
              </w:rPr>
              <w:t>“</w:t>
            </w:r>
            <w:r>
              <w:rPr>
                <w:rFonts w:ascii="Times New Roman" w:eastAsia="宋体"/>
                <w:color w:val="auto"/>
                <w:sz w:val="24"/>
                <w:lang w:eastAsia="zh-CN"/>
              </w:rPr>
              <w:t>安全防火规定等规章制度</w:t>
            </w:r>
            <w:r>
              <w:rPr>
                <w:rFonts w:ascii="Times New Roman" w:hAnsi="Times New Roman" w:eastAsia="宋体"/>
                <w:color w:val="auto"/>
                <w:sz w:val="24"/>
                <w:lang w:eastAsia="zh-CN"/>
              </w:rPr>
              <w:t>”</w:t>
            </w:r>
            <w:r>
              <w:rPr>
                <w:rFonts w:ascii="Times New Roman" w:eastAsia="宋体"/>
                <w:color w:val="auto"/>
                <w:sz w:val="24"/>
                <w:lang w:eastAsia="zh-CN"/>
              </w:rPr>
              <w:t>等规章制度。运行环境满足要求</w:t>
            </w:r>
          </w:p>
          <w:p>
            <w:pPr>
              <w:pStyle w:val="20"/>
              <w:spacing w:beforeLines="30" w:afterLines="30" w:line="300" w:lineRule="exact"/>
              <w:ind w:firstLine="480"/>
              <w:rPr>
                <w:rFonts w:ascii="Times New Roman" w:hAnsi="Times New Roman" w:eastAsia="宋体"/>
                <w:color w:val="auto"/>
                <w:sz w:val="24"/>
                <w:lang w:eastAsia="zh-CN"/>
              </w:rPr>
            </w:pPr>
            <w:r>
              <w:rPr>
                <w:rFonts w:ascii="Times New Roman" w:eastAsia="宋体"/>
                <w:color w:val="auto"/>
                <w:sz w:val="24"/>
                <w:lang w:eastAsia="zh-CN"/>
              </w:rPr>
              <w:t>经与主管人员交谈，其对本部门在本条款管理中的职责、分工和接口关系清楚掌握，基本符合文件要求。</w:t>
            </w:r>
          </w:p>
          <w:p>
            <w:pPr>
              <w:pStyle w:val="20"/>
              <w:spacing w:beforeLines="30" w:afterLines="30" w:line="300" w:lineRule="exact"/>
              <w:ind w:firstLine="480"/>
              <w:rPr>
                <w:rFonts w:ascii="Times New Roman" w:hAnsi="Times New Roman" w:eastAsia="宋体"/>
                <w:color w:val="auto"/>
                <w:sz w:val="24"/>
                <w:lang w:eastAsia="zh-CN"/>
              </w:rPr>
            </w:pPr>
            <w:r>
              <w:rPr>
                <w:rFonts w:ascii="Times New Roman" w:eastAsia="宋体"/>
                <w:color w:val="auto"/>
                <w:sz w:val="24"/>
                <w:lang w:eastAsia="zh-CN"/>
              </w:rPr>
              <w:t>公司定期举行旅游活动、体检，带薪休假等，已缓解员工的心理压力、过度疲劳等。</w:t>
            </w:r>
          </w:p>
          <w:p>
            <w:pPr>
              <w:pStyle w:val="20"/>
              <w:spacing w:beforeLines="30" w:afterLines="30" w:line="300" w:lineRule="exact"/>
              <w:ind w:firstLine="480"/>
              <w:rPr>
                <w:rFonts w:ascii="Times New Roman" w:hAnsi="Times New Roman" w:eastAsia="宋体"/>
                <w:color w:val="auto"/>
                <w:sz w:val="24"/>
                <w:lang w:eastAsia="zh-CN"/>
              </w:rPr>
            </w:pPr>
            <w:r>
              <w:rPr>
                <w:rFonts w:ascii="Times New Roman" w:eastAsia="宋体"/>
                <w:color w:val="auto"/>
                <w:sz w:val="24"/>
                <w:lang w:eastAsia="zh-CN"/>
              </w:rPr>
              <w:t>公司现场观察，公司办公场所和生产场所均环境良好，满足办公需要，无特殊环境要求。</w:t>
            </w:r>
          </w:p>
        </w:tc>
        <w:tc>
          <w:tcPr>
            <w:tcW w:w="851"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954" w:type="dxa"/>
          </w:tcPr>
          <w:p>
            <w:pPr>
              <w:spacing w:line="360" w:lineRule="auto"/>
              <w:rPr>
                <w:bCs/>
              </w:rPr>
            </w:pPr>
            <w:r>
              <w:rPr>
                <w:rFonts w:hAnsi="宋体"/>
                <w:bCs/>
              </w:rPr>
              <w:t>运行的策划和控制</w:t>
            </w:r>
          </w:p>
          <w:p>
            <w:pPr>
              <w:spacing w:line="360" w:lineRule="auto"/>
            </w:pPr>
          </w:p>
          <w:p>
            <w:pPr>
              <w:spacing w:line="360" w:lineRule="auto"/>
            </w:pPr>
          </w:p>
        </w:tc>
        <w:tc>
          <w:tcPr>
            <w:tcW w:w="1166" w:type="dxa"/>
          </w:tcPr>
          <w:p>
            <w:pPr>
              <w:spacing w:line="360" w:lineRule="auto"/>
              <w:rPr>
                <w:i/>
                <w:iCs/>
              </w:rPr>
            </w:pPr>
            <w:r>
              <w:rPr>
                <w:b/>
                <w:bCs/>
              </w:rPr>
              <w:t>Q8</w:t>
            </w:r>
            <w:r>
              <w:rPr>
                <w:b/>
              </w:rPr>
              <w:t>.1</w:t>
            </w:r>
          </w:p>
          <w:p>
            <w:pPr>
              <w:pStyle w:val="20"/>
              <w:spacing w:line="360" w:lineRule="auto"/>
              <w:ind w:firstLine="480"/>
              <w:rPr>
                <w:rFonts w:ascii="Times New Roman" w:hAnsi="Times New Roman" w:eastAsia="宋体"/>
                <w:i/>
                <w:iCs/>
                <w:color w:val="auto"/>
                <w:sz w:val="24"/>
                <w:u w:val="wave"/>
              </w:rPr>
            </w:pPr>
          </w:p>
          <w:p>
            <w:pPr>
              <w:pStyle w:val="20"/>
              <w:spacing w:line="360" w:lineRule="auto"/>
              <w:ind w:firstLine="480"/>
              <w:rPr>
                <w:rFonts w:ascii="Times New Roman" w:hAnsi="Times New Roman" w:eastAsia="宋体"/>
                <w:i/>
                <w:iCs/>
                <w:color w:val="auto"/>
                <w:sz w:val="24"/>
                <w:u w:val="wave"/>
              </w:rPr>
            </w:pPr>
          </w:p>
          <w:p>
            <w:pPr>
              <w:pStyle w:val="20"/>
              <w:spacing w:line="360" w:lineRule="auto"/>
              <w:ind w:firstLine="0" w:firstLineChars="0"/>
              <w:rPr>
                <w:rFonts w:ascii="Times New Roman" w:hAnsi="Times New Roman" w:eastAsia="宋体"/>
                <w:bCs/>
                <w:i/>
                <w:iCs/>
                <w:color w:val="auto"/>
                <w:sz w:val="24"/>
              </w:rPr>
            </w:pPr>
          </w:p>
          <w:p>
            <w:pPr>
              <w:pStyle w:val="20"/>
              <w:spacing w:line="360" w:lineRule="auto"/>
              <w:ind w:firstLine="0" w:firstLineChars="0"/>
              <w:rPr>
                <w:rFonts w:ascii="Times New Roman" w:hAnsi="Times New Roman" w:eastAsia="宋体"/>
                <w:bCs/>
                <w:i/>
                <w:iCs/>
                <w:color w:val="auto"/>
                <w:sz w:val="24"/>
              </w:rPr>
            </w:pPr>
          </w:p>
          <w:p>
            <w:pPr>
              <w:spacing w:line="360" w:lineRule="auto"/>
            </w:pPr>
          </w:p>
        </w:tc>
        <w:tc>
          <w:tcPr>
            <w:tcW w:w="10738" w:type="dxa"/>
          </w:tcPr>
          <w:p>
            <w:pPr>
              <w:spacing w:beforeLines="30" w:afterLines="30" w:line="288" w:lineRule="auto"/>
              <w:ind w:firstLine="480" w:firstLineChars="200"/>
              <w:rPr>
                <w:rFonts w:hAnsiTheme="minorEastAsia"/>
                <w:lang w:eastAsia="zh-CN"/>
              </w:rPr>
            </w:pPr>
            <w:r>
              <w:rPr>
                <w:rFonts w:hint="eastAsia" w:hAnsiTheme="minorEastAsia"/>
                <w:lang w:eastAsia="zh-CN"/>
              </w:rPr>
              <w:t>一、确定产品和服务的要求</w:t>
            </w:r>
          </w:p>
          <w:p>
            <w:pPr>
              <w:spacing w:beforeLines="30" w:afterLines="30" w:line="288" w:lineRule="auto"/>
              <w:ind w:firstLine="480" w:firstLineChars="200"/>
              <w:rPr>
                <w:rFonts w:hAnsiTheme="minorEastAsia"/>
                <w:lang w:eastAsia="zh-CN"/>
              </w:rPr>
            </w:pPr>
            <w:r>
              <w:rPr>
                <w:rFonts w:hint="eastAsia" w:hAnsiTheme="minorEastAsia"/>
                <w:lang w:eastAsia="zh-CN"/>
              </w:rPr>
              <w:t>1、顾客的合同要求：依据客户要求确定产品的数量、规格、型号、交期等。</w:t>
            </w:r>
          </w:p>
          <w:p>
            <w:pPr>
              <w:spacing w:beforeLines="30" w:afterLines="30" w:line="288" w:lineRule="auto"/>
              <w:ind w:firstLine="480" w:firstLineChars="200"/>
              <w:rPr>
                <w:rFonts w:hAnsiTheme="minorEastAsia"/>
                <w:lang w:eastAsia="zh-CN"/>
              </w:rPr>
            </w:pPr>
            <w:r>
              <w:rPr>
                <w:rFonts w:hint="eastAsia" w:hAnsiTheme="minorEastAsia"/>
                <w:lang w:eastAsia="zh-CN"/>
              </w:rPr>
              <w:t>2、公司生产的产品主要有：“城市公共交通亭（棚）、广告棚（牌）、旅游咨询亭、治安亭（棚）、户外各类收费亭、报刊亭等</w:t>
            </w:r>
          </w:p>
          <w:p>
            <w:pPr>
              <w:spacing w:beforeLines="30" w:afterLines="30" w:line="288" w:lineRule="auto"/>
              <w:ind w:firstLine="480" w:firstLineChars="200"/>
              <w:rPr>
                <w:rFonts w:hAnsiTheme="minorEastAsia"/>
                <w:lang w:eastAsia="zh-CN"/>
              </w:rPr>
            </w:pPr>
            <w:r>
              <w:rPr>
                <w:rFonts w:hint="eastAsia" w:hAnsiTheme="minorEastAsia"/>
                <w:lang w:eastAsia="zh-CN"/>
              </w:rPr>
              <w:t>3、公司生产、检验相关标准：参考国家/行业标准：金属家具通用技术条件GB/T3325-2017，制订了企业标准：Q/XST004-2014《公共自行车停车棚》、Q/XST003-2014《公共自行车服务智能设备管理柜》等，编制了相应的过程文件：编制了《生产工序作业指导书》、《过程检验规程》等指导产品生产和确定产品的接收；</w:t>
            </w:r>
          </w:p>
          <w:p>
            <w:pPr>
              <w:spacing w:beforeLines="30" w:afterLines="30" w:line="288" w:lineRule="auto"/>
              <w:ind w:firstLine="480" w:firstLineChars="200"/>
              <w:rPr>
                <w:rFonts w:hAnsiTheme="minorEastAsia"/>
                <w:lang w:eastAsia="zh-CN"/>
              </w:rPr>
            </w:pPr>
            <w:r>
              <w:rPr>
                <w:rFonts w:hint="eastAsia" w:hAnsiTheme="minorEastAsia"/>
                <w:lang w:eastAsia="zh-CN"/>
              </w:rPr>
              <w:t>4、明确了质量目标和相关的产品特性要求：产品出厂合格率100%；客户满意度大于95分，根据客户技术要求进行生产和服务的提供。</w:t>
            </w:r>
          </w:p>
          <w:p>
            <w:pPr>
              <w:spacing w:beforeLines="30" w:afterLines="30" w:line="288" w:lineRule="auto"/>
              <w:ind w:firstLine="480" w:firstLineChars="200"/>
              <w:rPr>
                <w:rFonts w:hAnsiTheme="minorEastAsia"/>
                <w:lang w:eastAsia="zh-CN"/>
              </w:rPr>
            </w:pPr>
            <w:r>
              <w:rPr>
                <w:rFonts w:hint="eastAsia" w:hAnsiTheme="minorEastAsia"/>
                <w:lang w:eastAsia="zh-CN"/>
              </w:rPr>
              <w:t>二、过程及产品接收准则</w:t>
            </w:r>
          </w:p>
          <w:p>
            <w:pPr>
              <w:spacing w:beforeLines="30" w:afterLines="30" w:line="288" w:lineRule="auto"/>
              <w:ind w:firstLine="480" w:firstLineChars="200"/>
              <w:rPr>
                <w:rFonts w:hAnsiTheme="minorEastAsia"/>
                <w:lang w:eastAsia="zh-CN"/>
              </w:rPr>
            </w:pPr>
            <w:r>
              <w:rPr>
                <w:rFonts w:hint="eastAsia" w:hAnsiTheme="minorEastAsia"/>
                <w:lang w:eastAsia="zh-CN"/>
              </w:rPr>
              <w:t>1、工艺流程：下料→冲压→折弯→焊接→打磨→喷涂→安装→包装</w:t>
            </w:r>
          </w:p>
          <w:p>
            <w:pPr>
              <w:spacing w:beforeLines="30" w:afterLines="30" w:line="288" w:lineRule="auto"/>
              <w:ind w:firstLine="480" w:firstLineChars="200"/>
              <w:rPr>
                <w:rFonts w:hAnsiTheme="minorEastAsia"/>
                <w:lang w:eastAsia="zh-CN"/>
              </w:rPr>
            </w:pPr>
            <w:r>
              <w:rPr>
                <w:rFonts w:hint="eastAsia" w:hAnsiTheme="minorEastAsia"/>
                <w:lang w:eastAsia="zh-CN"/>
              </w:rPr>
              <w:t>2、接收准则：原料验收标准、企业标准、客户要求、参考行业、国家标准等。</w:t>
            </w:r>
          </w:p>
          <w:p>
            <w:pPr>
              <w:spacing w:beforeLines="30" w:afterLines="30" w:line="288" w:lineRule="auto"/>
              <w:ind w:firstLine="480" w:firstLineChars="200"/>
              <w:rPr>
                <w:rFonts w:hAnsiTheme="minorEastAsia"/>
                <w:lang w:eastAsia="zh-CN"/>
              </w:rPr>
            </w:pPr>
            <w:r>
              <w:rPr>
                <w:rFonts w:hint="eastAsia" w:hAnsiTheme="minorEastAsia"/>
                <w:lang w:eastAsia="zh-CN"/>
              </w:rPr>
              <w:t>3、特殊工序是喷涂、焊接过程，提供特殊过程的《特殊过程确认单》 ，人员设备、作业方法、环境同去年一样，未有变更，进行了确认符合要求。</w:t>
            </w:r>
          </w:p>
          <w:p>
            <w:pPr>
              <w:spacing w:beforeLines="30" w:afterLines="30" w:line="288" w:lineRule="auto"/>
              <w:ind w:firstLine="480" w:firstLineChars="200"/>
              <w:rPr>
                <w:rFonts w:hAnsiTheme="minorEastAsia"/>
                <w:lang w:eastAsia="zh-CN"/>
              </w:rPr>
            </w:pPr>
            <w:r>
              <w:rPr>
                <w:rFonts w:hint="eastAsia" w:hAnsiTheme="minorEastAsia"/>
                <w:lang w:eastAsia="zh-CN"/>
              </w:rPr>
              <w:t>三、确定资源需求：</w:t>
            </w:r>
          </w:p>
          <w:p>
            <w:pPr>
              <w:spacing w:beforeLines="30" w:afterLines="30" w:line="288" w:lineRule="auto"/>
              <w:ind w:firstLine="480" w:firstLineChars="200"/>
              <w:rPr>
                <w:rFonts w:hAnsiTheme="minorEastAsia"/>
                <w:lang w:eastAsia="zh-CN"/>
              </w:rPr>
            </w:pPr>
            <w:r>
              <w:rPr>
                <w:rFonts w:hint="eastAsia" w:hAnsiTheme="minorEastAsia"/>
                <w:lang w:eastAsia="zh-CN"/>
              </w:rPr>
              <w:t>生产设备：包括剪板机、激光切割机、喷塑线、切割机、冲床、折弯机、电焊机、CO2气体保护焊机、台式钻床等生产设备；</w:t>
            </w:r>
          </w:p>
          <w:p>
            <w:pPr>
              <w:spacing w:beforeLines="30" w:afterLines="30" w:line="288" w:lineRule="auto"/>
              <w:ind w:firstLine="480" w:firstLineChars="200"/>
              <w:rPr>
                <w:rFonts w:hAnsiTheme="minorEastAsia"/>
                <w:lang w:eastAsia="zh-CN"/>
              </w:rPr>
            </w:pPr>
            <w:r>
              <w:rPr>
                <w:rFonts w:hint="eastAsia" w:hAnsiTheme="minorEastAsia"/>
                <w:lang w:eastAsia="zh-CN"/>
              </w:rPr>
              <w:t>监测测量设备：游标卡尺、数显千分尺、电子吊钩秤、涂层测厚仪等；</w:t>
            </w:r>
          </w:p>
          <w:p>
            <w:pPr>
              <w:spacing w:beforeLines="30" w:afterLines="30" w:line="288" w:lineRule="auto"/>
              <w:ind w:firstLine="480" w:firstLineChars="200"/>
              <w:rPr>
                <w:rFonts w:hAnsiTheme="minorEastAsia"/>
                <w:lang w:eastAsia="zh-CN"/>
              </w:rPr>
            </w:pPr>
            <w:r>
              <w:rPr>
                <w:rFonts w:hint="eastAsia" w:hAnsiTheme="minorEastAsia"/>
                <w:lang w:eastAsia="zh-CN"/>
              </w:rPr>
              <w:t>为实现产品质量目标配置了相应人员（如关键岗位上岗前经过岗前培训，特种作业人员持证上岗等)</w:t>
            </w:r>
          </w:p>
          <w:p>
            <w:pPr>
              <w:spacing w:beforeLines="30" w:afterLines="30" w:line="288" w:lineRule="auto"/>
              <w:ind w:firstLine="480" w:firstLineChars="200"/>
              <w:rPr>
                <w:rFonts w:hAnsiTheme="minorEastAsia"/>
                <w:lang w:eastAsia="zh-CN"/>
              </w:rPr>
            </w:pPr>
            <w:r>
              <w:rPr>
                <w:rFonts w:hint="eastAsia" w:hAnsiTheme="minorEastAsia"/>
                <w:lang w:eastAsia="zh-CN"/>
              </w:rPr>
              <w:t>四、编制了相应的作业文件：剪板作业指导书、冲压、折弯、焊接、打磨、皮膜处理、喷塑、安装和包装作业指导书及相应的安全操作规程。</w:t>
            </w:r>
          </w:p>
          <w:p>
            <w:pPr>
              <w:spacing w:beforeLines="30" w:afterLines="30" w:line="288" w:lineRule="auto"/>
              <w:ind w:firstLine="480" w:firstLineChars="200"/>
              <w:rPr>
                <w:rFonts w:hAnsiTheme="minorEastAsia"/>
                <w:lang w:eastAsia="zh-CN"/>
              </w:rPr>
            </w:pPr>
            <w:r>
              <w:rPr>
                <w:rFonts w:hint="eastAsia" w:hAnsiTheme="minorEastAsia"/>
                <w:lang w:eastAsia="zh-CN"/>
              </w:rPr>
              <w:t>五、记录：策划有委托设计合同、内部审核检查表、首末次会议记录、特殊过程确认记录、生产过程记录、检验记录等，基本满足产品实现需要。</w:t>
            </w:r>
          </w:p>
          <w:p>
            <w:pPr>
              <w:spacing w:beforeLines="30" w:afterLines="30" w:line="288" w:lineRule="auto"/>
              <w:ind w:firstLine="480" w:firstLineChars="200"/>
              <w:rPr>
                <w:lang w:eastAsia="zh-CN"/>
              </w:rPr>
            </w:pPr>
            <w:r>
              <w:rPr>
                <w:rFonts w:hint="eastAsia" w:hAnsiTheme="minorEastAsia"/>
                <w:lang w:eastAsia="zh-CN"/>
              </w:rPr>
              <w:t>策划的输出适合于组织的运行。</w:t>
            </w:r>
          </w:p>
        </w:tc>
        <w:tc>
          <w:tcPr>
            <w:tcW w:w="851"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954" w:type="dxa"/>
          </w:tcPr>
          <w:p>
            <w:pPr>
              <w:spacing w:line="360" w:lineRule="auto"/>
            </w:pPr>
            <w:r>
              <w:rPr>
                <w:rFonts w:hAnsi="宋体"/>
                <w:bCs/>
              </w:rPr>
              <w:t>生产和服务提供的控制</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c>
        <w:tc>
          <w:tcPr>
            <w:tcW w:w="1166" w:type="dxa"/>
          </w:tcPr>
          <w:p>
            <w:pPr>
              <w:spacing w:line="360" w:lineRule="auto"/>
            </w:pPr>
            <w:r>
              <w:rPr>
                <w:b/>
              </w:rPr>
              <w:t>Q8.5.1</w:t>
            </w:r>
          </w:p>
        </w:tc>
        <w:tc>
          <w:tcPr>
            <w:tcW w:w="10738" w:type="dxa"/>
          </w:tcPr>
          <w:p>
            <w:pPr>
              <w:spacing w:line="288" w:lineRule="auto"/>
              <w:ind w:firstLine="480" w:firstLineChars="200"/>
              <w:rPr>
                <w:rFonts w:hAnsiTheme="minorEastAsia"/>
                <w:lang w:eastAsia="zh-CN"/>
              </w:rPr>
            </w:pPr>
            <w:r>
              <w:rPr>
                <w:rFonts w:hint="eastAsia" w:hAnsiTheme="minorEastAsia"/>
                <w:lang w:eastAsia="zh-CN"/>
              </w:rPr>
              <w:t>公司主要从事城市公共交通亭（棚）、广告棚（牌）、旅游咨询亭、治安亭（棚）、户外各类收费亭、报刊亭的生产。</w:t>
            </w:r>
          </w:p>
          <w:p>
            <w:pPr>
              <w:spacing w:line="288" w:lineRule="auto"/>
              <w:ind w:firstLine="480" w:firstLineChars="200"/>
              <w:rPr>
                <w:rFonts w:hAnsiTheme="minorEastAsia"/>
                <w:lang w:eastAsia="zh-CN"/>
              </w:rPr>
            </w:pPr>
            <w:r>
              <w:rPr>
                <w:rFonts w:hint="eastAsia" w:hAnsiTheme="minorEastAsia"/>
                <w:lang w:eastAsia="zh-CN"/>
              </w:rPr>
              <w:t>公司规定了生产和服务的控制要求，符合企业实际和标准要求，具有可操作性。</w:t>
            </w:r>
          </w:p>
          <w:p>
            <w:pPr>
              <w:spacing w:line="288" w:lineRule="auto"/>
              <w:ind w:firstLine="480" w:firstLineChars="200"/>
              <w:rPr>
                <w:rFonts w:hAnsiTheme="minorEastAsia"/>
                <w:lang w:eastAsia="zh-CN"/>
              </w:rPr>
            </w:pPr>
            <w:r>
              <w:rPr>
                <w:rFonts w:hint="eastAsia" w:hAnsiTheme="minorEastAsia"/>
                <w:lang w:eastAsia="zh-CN"/>
              </w:rPr>
              <w:t>生产部负责人介绍说，公司依据已中标的标书/客户的订单，下达生产计划。接到订单后召开生产会议，进行生产、质量及管理工作协调。通过原材料检验、过程检验、成品检验等过程对产品质量、生产进度等进行监控。</w:t>
            </w:r>
          </w:p>
          <w:p>
            <w:pPr>
              <w:spacing w:line="288" w:lineRule="auto"/>
              <w:ind w:firstLine="480" w:firstLineChars="200"/>
              <w:rPr>
                <w:rFonts w:hAnsiTheme="minorEastAsia"/>
                <w:lang w:eastAsia="zh-CN"/>
              </w:rPr>
            </w:pPr>
            <w:r>
              <w:rPr>
                <w:rFonts w:hint="eastAsia" w:hAnsiTheme="minorEastAsia"/>
                <w:lang w:eastAsia="zh-CN"/>
              </w:rPr>
              <w:t>一、现场查看受控条件：</w:t>
            </w:r>
          </w:p>
          <w:p>
            <w:pPr>
              <w:spacing w:line="288" w:lineRule="auto"/>
              <w:ind w:firstLine="480" w:firstLineChars="200"/>
              <w:rPr>
                <w:rFonts w:hAnsiTheme="minorEastAsia"/>
                <w:lang w:eastAsia="zh-CN"/>
              </w:rPr>
            </w:pPr>
            <w:r>
              <w:rPr>
                <w:rFonts w:hint="eastAsia" w:hAnsiTheme="minorEastAsia"/>
                <w:lang w:eastAsia="zh-CN"/>
              </w:rPr>
              <w:t>1) 公司目前从事城市公共交通亭（棚）、广告棚（牌）、旅游咨询亭、治安亭（棚）、户外各类收费亭、报刊亭的生产。</w:t>
            </w:r>
          </w:p>
          <w:p>
            <w:pPr>
              <w:spacing w:line="288" w:lineRule="auto"/>
              <w:ind w:firstLine="480" w:firstLineChars="200"/>
              <w:rPr>
                <w:rFonts w:hAnsiTheme="minorEastAsia"/>
                <w:lang w:eastAsia="zh-CN"/>
              </w:rPr>
            </w:pPr>
            <w:r>
              <w:rPr>
                <w:rFonts w:hint="eastAsia" w:hAnsiTheme="minorEastAsia"/>
                <w:lang w:eastAsia="zh-CN"/>
              </w:rPr>
              <w:t>生产的工艺流程是：下料→冲压→折弯→焊接→打磨→喷涂→安装→包装。</w:t>
            </w:r>
          </w:p>
          <w:p>
            <w:pPr>
              <w:spacing w:beforeLines="30" w:afterLines="30" w:line="288" w:lineRule="auto"/>
              <w:ind w:firstLine="480" w:firstLineChars="200"/>
              <w:rPr>
                <w:rFonts w:hAnsiTheme="minorEastAsia"/>
                <w:lang w:eastAsia="zh-CN"/>
              </w:rPr>
            </w:pPr>
            <w:r>
              <w:rPr>
                <w:rFonts w:hint="eastAsia" w:hAnsiTheme="minorEastAsia"/>
                <w:lang w:eastAsia="zh-CN"/>
              </w:rPr>
              <w:t>特殊工序是喷涂、焊接过程，经询问查看工艺、设备、工艺参数、人员均同去年一样，未进行变更，符合要求。</w:t>
            </w:r>
          </w:p>
          <w:p>
            <w:pPr>
              <w:spacing w:line="288" w:lineRule="auto"/>
              <w:ind w:firstLine="480" w:firstLineChars="200"/>
              <w:rPr>
                <w:rFonts w:hAnsiTheme="minorEastAsia"/>
                <w:lang w:eastAsia="zh-CN"/>
              </w:rPr>
            </w:pPr>
            <w:r>
              <w:rPr>
                <w:rFonts w:hint="eastAsia" w:hAnsiTheme="minorEastAsia"/>
                <w:lang w:eastAsia="zh-CN"/>
              </w:rPr>
              <w:t>通常依据客户的订单来确定需要生产以上产品的数量、规格型号、交货期，从而控制生产和销售的有序进行。</w:t>
            </w:r>
          </w:p>
          <w:p>
            <w:pPr>
              <w:spacing w:line="288" w:lineRule="auto"/>
              <w:ind w:firstLine="480" w:firstLineChars="200"/>
              <w:rPr>
                <w:rFonts w:hAnsiTheme="minorEastAsia"/>
                <w:lang w:eastAsia="zh-CN"/>
              </w:rPr>
            </w:pPr>
            <w:r>
              <w:rPr>
                <w:rFonts w:hint="eastAsia" w:hAnsiTheme="minorEastAsia"/>
                <w:lang w:eastAsia="zh-CN"/>
              </w:rPr>
              <w:t>现场有：生产计划、图纸、设备操作规程、冲压作业指导书、折弯作业指导书、焊接作业指导书、喷涂作业指导书、装配作业指导书、检验规范，操作性较强，可以满足指导生产操作的要求。</w:t>
            </w:r>
          </w:p>
          <w:p>
            <w:pPr>
              <w:spacing w:line="288" w:lineRule="auto"/>
              <w:ind w:firstLine="480" w:firstLineChars="200"/>
              <w:rPr>
                <w:rFonts w:hAnsiTheme="minorEastAsia"/>
                <w:lang w:eastAsia="zh-CN"/>
              </w:rPr>
            </w:pPr>
            <w:r>
              <w:rPr>
                <w:rFonts w:hint="eastAsia" w:hAnsiTheme="minorEastAsia"/>
                <w:lang w:eastAsia="zh-CN"/>
              </w:rPr>
              <w:t>2）提供和配置了游标卡尺、数显千分尺、电子吊钩秤、涂层测厚仪等，监视和测量设备配置适宜，维护保养良好，能够满足质量特性测量需要。</w:t>
            </w:r>
          </w:p>
          <w:p>
            <w:pPr>
              <w:spacing w:line="288" w:lineRule="auto"/>
              <w:ind w:firstLine="480" w:firstLineChars="200"/>
              <w:rPr>
                <w:rFonts w:hAnsiTheme="minorEastAsia"/>
                <w:lang w:eastAsia="zh-CN"/>
              </w:rPr>
            </w:pPr>
            <w:r>
              <w:rPr>
                <w:rFonts w:hint="eastAsia" w:hAnsiTheme="minorEastAsia"/>
                <w:lang w:eastAsia="zh-CN"/>
              </w:rPr>
              <w:t>3）检验活动有原材料检验、过程检验、成品的外观、规格尺寸、结构检验，能够验证过程和产品是否符合接收准则。</w:t>
            </w:r>
          </w:p>
          <w:p>
            <w:pPr>
              <w:spacing w:line="288" w:lineRule="auto"/>
              <w:ind w:firstLine="480" w:firstLineChars="200"/>
              <w:rPr>
                <w:rFonts w:hAnsiTheme="minorEastAsia"/>
                <w:lang w:eastAsia="zh-CN"/>
              </w:rPr>
            </w:pPr>
            <w:r>
              <w:rPr>
                <w:rFonts w:hint="eastAsia" w:hAnsiTheme="minorEastAsia"/>
                <w:lang w:eastAsia="zh-CN"/>
              </w:rPr>
              <w:t>4）提供和配备了包括剪板机、激光切割机、喷塑线、切割机、冲床、折弯机、电焊机、CO2气体保护焊机、台式钻床等生产设备，设备运转正常，维护保养良好，配置适宜于生产工艺过程。设备能按照生产流程摆放，摆放基本合理，车间通风良好，光线充足，车间内地面比较干净、整洁，有安全通道和灭火器，基础设施和环境能够满足生产需求。</w:t>
            </w:r>
          </w:p>
          <w:p>
            <w:pPr>
              <w:spacing w:line="288" w:lineRule="auto"/>
              <w:ind w:firstLine="480" w:firstLineChars="200"/>
              <w:rPr>
                <w:rFonts w:hAnsiTheme="minorEastAsia"/>
                <w:lang w:eastAsia="zh-CN"/>
              </w:rPr>
            </w:pPr>
            <w:r>
              <w:rPr>
                <w:rFonts w:hint="eastAsia" w:hAnsiTheme="minorEastAsia"/>
                <w:lang w:eastAsia="zh-CN"/>
              </w:rPr>
              <w:t>5）生产操作人员和技术人员、管理人员以及质检员都经过了培训，能力满足要求，特种作业人员持证上岗。</w:t>
            </w:r>
          </w:p>
          <w:p>
            <w:pPr>
              <w:spacing w:line="288" w:lineRule="auto"/>
              <w:ind w:firstLine="480" w:firstLineChars="200"/>
              <w:rPr>
                <w:rFonts w:hAnsiTheme="minorEastAsia"/>
              </w:rPr>
            </w:pPr>
            <w:r>
              <w:rPr>
                <w:rFonts w:hAnsiTheme="minorEastAsia"/>
                <w:lang w:eastAsia="zh-CN" w:bidi="ar-SA"/>
              </w:rPr>
              <w:drawing>
                <wp:inline distT="0" distB="0" distL="0" distR="0">
                  <wp:extent cx="3943350" cy="218249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6"/>
                          <a:srcRect/>
                          <a:stretch>
                            <a:fillRect/>
                          </a:stretch>
                        </pic:blipFill>
                        <pic:spPr>
                          <a:xfrm>
                            <a:off x="0" y="0"/>
                            <a:ext cx="3943350" cy="2182624"/>
                          </a:xfrm>
                          <a:prstGeom prst="rect">
                            <a:avLst/>
                          </a:prstGeom>
                          <a:noFill/>
                          <a:ln w="9525">
                            <a:noFill/>
                            <a:miter lim="800000"/>
                            <a:headEnd/>
                            <a:tailEnd/>
                          </a:ln>
                        </pic:spPr>
                      </pic:pic>
                    </a:graphicData>
                  </a:graphic>
                </wp:inline>
              </w:drawing>
            </w:r>
          </w:p>
          <w:p>
            <w:pPr>
              <w:spacing w:line="288" w:lineRule="auto"/>
              <w:ind w:firstLine="480" w:firstLineChars="200"/>
              <w:rPr>
                <w:rFonts w:hAnsiTheme="minorEastAsia"/>
                <w:lang w:eastAsia="zh-CN"/>
              </w:rPr>
            </w:pPr>
            <w:r>
              <w:rPr>
                <w:rFonts w:hint="eastAsia" w:hAnsiTheme="minorEastAsia"/>
                <w:lang w:eastAsia="zh-CN"/>
              </w:rPr>
              <w:t>6）提供了设备操作规程、生产作业指导书、专用工装等，规定了操作的步骤、方法、注意事项等，操作人员直接按要求进行控制，防止人为错误。</w:t>
            </w:r>
          </w:p>
          <w:p>
            <w:pPr>
              <w:spacing w:line="288" w:lineRule="auto"/>
              <w:ind w:firstLine="480" w:firstLineChars="200"/>
              <w:rPr>
                <w:rFonts w:hAnsiTheme="minorEastAsia"/>
                <w:lang w:eastAsia="zh-CN"/>
              </w:rPr>
            </w:pPr>
            <w:r>
              <w:rPr>
                <w:rFonts w:hint="eastAsia" w:hAnsiTheme="minorEastAsia"/>
                <w:lang w:eastAsia="zh-CN"/>
              </w:rPr>
              <w:t>7)所有的产品(从原材料至成品)都必须经检验合格后方可转序、入库和交付。品质部负责产品的检验和放行，产品经过测试检验合格后方可放行和交付，销售部负责产品交付和交付后活动的实施，并负责联系售后服务。</w:t>
            </w:r>
          </w:p>
          <w:p>
            <w:pPr>
              <w:spacing w:beforeLines="30" w:afterLines="30" w:line="300" w:lineRule="exact"/>
              <w:ind w:firstLine="352" w:firstLineChars="147"/>
              <w:rPr>
                <w:lang w:eastAsia="zh-CN"/>
              </w:rPr>
            </w:pPr>
            <w:r>
              <w:rPr>
                <w:rFonts w:hAnsi="宋体"/>
                <w:lang w:eastAsia="zh-CN"/>
              </w:rPr>
              <w:t>生产现场观察：</w:t>
            </w:r>
          </w:p>
          <w:p>
            <w:pPr>
              <w:spacing w:beforeLines="30" w:afterLines="30" w:line="300" w:lineRule="exact"/>
              <w:ind w:firstLine="352" w:firstLineChars="147"/>
              <w:rPr>
                <w:lang w:eastAsia="zh-CN"/>
              </w:rPr>
            </w:pPr>
            <w:r>
              <w:rPr>
                <w:rFonts w:hAnsi="宋体"/>
                <w:lang w:eastAsia="zh-CN"/>
              </w:rPr>
              <w:t>城市公共交通亭（棚）、公共自行车亭（棚）、广告棚产品结构形状基本一致，都属于金属框架加上，区别主要在于规格尺寸、颜色、装饰面板的不同。</w:t>
            </w:r>
          </w:p>
          <w:p>
            <w:pPr>
              <w:spacing w:beforeLines="30" w:afterLines="30" w:line="300" w:lineRule="exact"/>
              <w:ind w:firstLine="480" w:firstLineChars="200"/>
              <w:rPr>
                <w:bCs/>
                <w:lang w:eastAsia="zh-CN"/>
              </w:rPr>
            </w:pPr>
            <w:r>
              <w:rPr>
                <w:lang w:eastAsia="zh-CN"/>
              </w:rPr>
              <w:t>1</w:t>
            </w:r>
            <w:r>
              <w:rPr>
                <w:rFonts w:hAnsi="宋体"/>
                <w:lang w:eastAsia="zh-CN"/>
              </w:rPr>
              <w:t>．</w:t>
            </w:r>
            <w:r>
              <w:rPr>
                <w:rFonts w:hAnsi="宋体"/>
                <w:bCs/>
                <w:lang w:eastAsia="zh-CN"/>
              </w:rPr>
              <w:t>下料工序：正在为</w:t>
            </w:r>
            <w:r>
              <w:rPr>
                <w:rFonts w:hint="eastAsia" w:hAnsi="宋体"/>
                <w:bCs/>
                <w:lang w:eastAsia="zh-CN"/>
              </w:rPr>
              <w:t>三明市公交候车亭小灯箱主体左右侧板</w:t>
            </w:r>
            <w:r>
              <w:rPr>
                <w:rFonts w:hAnsi="宋体"/>
                <w:bCs/>
                <w:lang w:eastAsia="zh-CN"/>
              </w:rPr>
              <w:t>下料，加工设备：切割机；操作者：张华文；加工要求：尺寸</w:t>
            </w:r>
            <w:r>
              <w:rPr>
                <w:bCs/>
                <w:lang w:eastAsia="zh-CN"/>
              </w:rPr>
              <w:t>1640*390*2.0</w:t>
            </w:r>
            <w:r>
              <w:rPr>
                <w:rFonts w:hAnsi="宋体"/>
                <w:bCs/>
                <w:lang w:eastAsia="zh-CN"/>
              </w:rPr>
              <w:t>；检验要求：零件图纸；自检无明显批锋、尺寸符合要求，流入下一工序。</w:t>
            </w:r>
          </w:p>
          <w:p>
            <w:pPr>
              <w:spacing w:beforeLines="30" w:afterLines="30" w:line="300" w:lineRule="exact"/>
              <w:ind w:firstLine="480" w:firstLineChars="200"/>
              <w:rPr>
                <w:lang w:eastAsia="zh-CN"/>
              </w:rPr>
            </w:pPr>
            <w:r>
              <w:rPr>
                <w:lang w:eastAsia="zh-CN"/>
              </w:rPr>
              <w:t xml:space="preserve">2. </w:t>
            </w:r>
            <w:r>
              <w:rPr>
                <w:rFonts w:hAnsi="宋体"/>
                <w:lang w:eastAsia="zh-CN"/>
              </w:rPr>
              <w:t>冲压工序，正在为</w:t>
            </w:r>
            <w:r>
              <w:rPr>
                <w:rFonts w:hint="eastAsia" w:hAnsi="宋体"/>
                <w:bCs/>
                <w:lang w:eastAsia="zh-CN"/>
              </w:rPr>
              <w:t>三明市公交候车亭</w:t>
            </w:r>
            <w:r>
              <w:rPr>
                <w:rFonts w:hint="eastAsia" w:hAnsi="宋体"/>
                <w:lang w:eastAsia="zh-CN"/>
              </w:rPr>
              <w:t>横档1封板</w:t>
            </w:r>
            <w:r>
              <w:rPr>
                <w:rFonts w:hAnsi="宋体"/>
                <w:lang w:eastAsia="zh-CN"/>
              </w:rPr>
              <w:t>连接孔，设备冲床，专用模具，检验要求：零件图纸（图号：SM-SQK-E-0-3）偏差小于</w:t>
            </w:r>
            <w:r>
              <w:rPr>
                <w:lang w:eastAsia="zh-CN"/>
              </w:rPr>
              <w:t xml:space="preserve"> 0.1mm</w:t>
            </w:r>
            <w:r>
              <w:rPr>
                <w:rFonts w:hAnsi="宋体"/>
                <w:lang w:eastAsia="zh-CN"/>
              </w:rPr>
              <w:t>，操作人黄利清。</w:t>
            </w:r>
          </w:p>
          <w:p>
            <w:pPr>
              <w:spacing w:beforeLines="30" w:afterLines="30" w:line="300" w:lineRule="exact"/>
              <w:ind w:firstLine="480" w:firstLineChars="200"/>
              <w:rPr>
                <w:bCs/>
                <w:lang w:eastAsia="zh-CN"/>
              </w:rPr>
            </w:pPr>
            <w:r>
              <w:rPr>
                <w:rFonts w:hint="eastAsia"/>
                <w:lang w:eastAsia="zh-CN"/>
              </w:rPr>
              <w:t>3</w:t>
            </w:r>
            <w:r>
              <w:rPr>
                <w:rFonts w:hAnsi="宋体"/>
                <w:lang w:eastAsia="zh-CN"/>
              </w:rPr>
              <w:t>、</w:t>
            </w:r>
            <w:r>
              <w:rPr>
                <w:rFonts w:hAnsi="宋体"/>
                <w:bCs/>
                <w:lang w:eastAsia="zh-CN"/>
              </w:rPr>
              <w:t>焊接工序：正在为</w:t>
            </w:r>
            <w:r>
              <w:rPr>
                <w:rFonts w:hint="eastAsia" w:hAnsi="宋体"/>
                <w:bCs/>
                <w:lang w:eastAsia="zh-CN"/>
              </w:rPr>
              <w:t>三明市公交候车亭圆弧侧板等部件进行</w:t>
            </w:r>
            <w:r>
              <w:rPr>
                <w:rFonts w:hAnsi="宋体"/>
                <w:bCs/>
                <w:lang w:eastAsia="zh-CN"/>
              </w:rPr>
              <w:t>焊接，加工设备：二保焊；操作者：黄银龙；根据作业指导书选用适当电流、电压；检验要求：无气孔、夹渣等。</w:t>
            </w:r>
          </w:p>
          <w:p>
            <w:pPr>
              <w:spacing w:beforeLines="30" w:afterLines="30" w:line="300" w:lineRule="exact"/>
              <w:ind w:firstLine="480" w:firstLineChars="200"/>
              <w:rPr>
                <w:bCs/>
                <w:lang w:eastAsia="zh-CN"/>
              </w:rPr>
            </w:pPr>
            <w:r>
              <w:rPr>
                <w:rFonts w:hint="eastAsia"/>
                <w:lang w:eastAsia="zh-CN"/>
              </w:rPr>
              <w:t>4</w:t>
            </w:r>
            <w:r>
              <w:rPr>
                <w:rFonts w:hAnsi="宋体"/>
                <w:lang w:eastAsia="zh-CN"/>
              </w:rPr>
              <w:t>、</w:t>
            </w:r>
            <w:r>
              <w:rPr>
                <w:rFonts w:hAnsi="宋体"/>
                <w:bCs/>
                <w:lang w:eastAsia="zh-CN"/>
              </w:rPr>
              <w:t>打磨工序：正在对焊接后的产品件进行打磨如弯头等，加工工具：角磨机；加工要求：焊缝打磨平整，无明显凸起；检验要求：打磨后焊缝无假焊、夹渣、气孔，焊缝光滑无明显手感；加工者：黄飞虎、熊福文；</w:t>
            </w:r>
            <w:r>
              <w:rPr>
                <w:bCs/>
                <w:lang w:eastAsia="zh-CN"/>
              </w:rPr>
              <w:t xml:space="preserve">   </w:t>
            </w:r>
          </w:p>
          <w:p>
            <w:pPr>
              <w:spacing w:beforeLines="30" w:afterLines="30" w:line="300" w:lineRule="exact"/>
              <w:ind w:firstLine="480" w:firstLineChars="200"/>
              <w:rPr>
                <w:bCs/>
                <w:lang w:eastAsia="zh-CN"/>
              </w:rPr>
            </w:pPr>
            <w:r>
              <w:rPr>
                <w:rFonts w:hint="eastAsia"/>
                <w:bCs/>
                <w:lang w:eastAsia="zh-CN"/>
              </w:rPr>
              <w:t>5</w:t>
            </w:r>
            <w:r>
              <w:rPr>
                <w:rFonts w:hAnsi="宋体"/>
                <w:bCs/>
                <w:lang w:eastAsia="zh-CN"/>
              </w:rPr>
              <w:t>、皮膜处理：正在加工生活亭</w:t>
            </w:r>
            <w:r>
              <w:rPr>
                <w:rFonts w:hint="eastAsia" w:hAnsi="宋体"/>
                <w:bCs/>
                <w:lang w:eastAsia="zh-CN"/>
              </w:rPr>
              <w:t>/</w:t>
            </w:r>
            <w:r>
              <w:rPr>
                <w:rFonts w:hAnsi="宋体"/>
                <w:bCs/>
                <w:lang w:eastAsia="zh-CN"/>
              </w:rPr>
              <w:t>棚主体框，加工设备：磷化池；加工者：熊雪龙；加工要求：无明显生锈，磷化后色泽暗青，无水渍；检验要求：用干净白色无纺布检查无油渍，磷化膜达标。</w:t>
            </w:r>
          </w:p>
          <w:p>
            <w:pPr>
              <w:spacing w:beforeLines="30" w:afterLines="30" w:line="300" w:lineRule="exact"/>
              <w:ind w:firstLine="480" w:firstLineChars="200"/>
              <w:rPr>
                <w:bCs/>
                <w:lang w:eastAsia="zh-CN"/>
              </w:rPr>
            </w:pPr>
            <w:r>
              <w:rPr>
                <w:rFonts w:hint="eastAsia"/>
                <w:lang w:eastAsia="zh-CN"/>
              </w:rPr>
              <w:t>6</w:t>
            </w:r>
            <w:r>
              <w:rPr>
                <w:rFonts w:hAnsi="宋体"/>
                <w:lang w:eastAsia="zh-CN"/>
              </w:rPr>
              <w:t>、</w:t>
            </w:r>
            <w:r>
              <w:rPr>
                <w:rFonts w:hAnsi="宋体"/>
                <w:bCs/>
                <w:lang w:eastAsia="zh-CN"/>
              </w:rPr>
              <w:t>静电喷涂工序：正在加工</w:t>
            </w:r>
            <w:r>
              <w:rPr>
                <w:rFonts w:hint="eastAsia" w:hAnsi="宋体"/>
                <w:bCs/>
                <w:lang w:eastAsia="zh-CN"/>
              </w:rPr>
              <w:t>生活亭侧板组合件、内外圆弧主体等进行喷塑</w:t>
            </w:r>
            <w:r>
              <w:rPr>
                <w:rFonts w:hAnsi="宋体"/>
                <w:bCs/>
                <w:lang w:eastAsia="zh-CN"/>
              </w:rPr>
              <w:t>，加工设备：喷涂流水线；加工者：聂朋辉等；加工要求：色差合格，膜厚合格等；检验要求：喷涂后检测膜厚、外观、附着力、硬度、耐溶性。</w:t>
            </w:r>
          </w:p>
          <w:p>
            <w:pPr>
              <w:spacing w:beforeLines="30" w:afterLines="30" w:line="300" w:lineRule="exact"/>
              <w:ind w:firstLine="480" w:firstLineChars="200"/>
              <w:rPr>
                <w:lang w:eastAsia="zh-CN"/>
              </w:rPr>
            </w:pPr>
            <w:r>
              <w:rPr>
                <w:lang w:eastAsia="zh-CN"/>
              </w:rPr>
              <w:t>8</w:t>
            </w:r>
            <w:r>
              <w:rPr>
                <w:rFonts w:hAnsi="宋体"/>
                <w:lang w:eastAsia="zh-CN"/>
              </w:rPr>
              <w:t>、组装工序：正在按图组装候车亭门窗，加工工具</w:t>
            </w:r>
            <w:r>
              <w:rPr>
                <w:lang w:eastAsia="zh-CN"/>
              </w:rPr>
              <w:t>：</w:t>
            </w:r>
            <w:r>
              <w:rPr>
                <w:rFonts w:hAnsi="宋体"/>
                <w:lang w:eastAsia="zh-CN"/>
              </w:rPr>
              <w:t>手电钻等工具；检验要求：开关顺畅，外观符合要求，操作工：晏四芳、黄冬生。</w:t>
            </w:r>
          </w:p>
          <w:p>
            <w:pPr>
              <w:spacing w:beforeLines="30" w:afterLines="30" w:line="300" w:lineRule="exact"/>
              <w:ind w:firstLine="480" w:firstLineChars="200"/>
              <w:rPr>
                <w:lang w:eastAsia="zh-CN"/>
              </w:rPr>
            </w:pPr>
            <w:r>
              <w:rPr>
                <w:rFonts w:hAnsi="宋体"/>
                <w:lang w:eastAsia="zh-CN"/>
              </w:rPr>
              <w:t>通过现场观察以上工序操作均符合操作文件要求。</w:t>
            </w:r>
          </w:p>
          <w:p>
            <w:pPr>
              <w:spacing w:beforeLines="30" w:afterLines="30" w:line="300" w:lineRule="exact"/>
              <w:ind w:firstLine="480" w:firstLineChars="200"/>
              <w:rPr>
                <w:lang w:eastAsia="zh-CN"/>
              </w:rPr>
            </w:pPr>
            <w:r>
              <w:rPr>
                <w:rFonts w:hAnsi="宋体"/>
                <w:lang w:eastAsia="zh-CN"/>
              </w:rPr>
              <w:t>组织生产过程的控制符合标准规定的要求。</w:t>
            </w:r>
          </w:p>
        </w:tc>
        <w:tc>
          <w:tcPr>
            <w:tcW w:w="851"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954" w:type="dxa"/>
          </w:tcPr>
          <w:p>
            <w:pPr>
              <w:spacing w:line="360" w:lineRule="auto"/>
              <w:rPr>
                <w:lang w:eastAsia="zh-CN"/>
              </w:rPr>
            </w:pPr>
            <w:r>
              <w:rPr>
                <w:rFonts w:hAnsi="宋体"/>
                <w:lang w:eastAsia="zh-CN"/>
              </w:rPr>
              <w:t>标识和可追溯</w:t>
            </w:r>
            <w:r>
              <w:rPr>
                <w:lang w:eastAsia="zh-CN"/>
              </w:rPr>
              <w:t>/</w:t>
            </w:r>
            <w:r>
              <w:rPr>
                <w:rFonts w:hAnsi="宋体"/>
                <w:lang w:eastAsia="zh-CN"/>
              </w:rPr>
              <w:t>产品防护</w:t>
            </w:r>
          </w:p>
        </w:tc>
        <w:tc>
          <w:tcPr>
            <w:tcW w:w="1166" w:type="dxa"/>
          </w:tcPr>
          <w:p>
            <w:pPr>
              <w:spacing w:line="360" w:lineRule="auto"/>
              <w:rPr>
                <w:b/>
                <w:bCs/>
              </w:rPr>
            </w:pPr>
            <w:r>
              <w:rPr>
                <w:b/>
                <w:bCs/>
              </w:rPr>
              <w:t>Q8.5.2</w:t>
            </w:r>
          </w:p>
          <w:p>
            <w:pPr>
              <w:spacing w:line="360" w:lineRule="auto"/>
            </w:pPr>
            <w:r>
              <w:rPr>
                <w:b/>
                <w:bCs/>
              </w:rPr>
              <w:t>Q8.5.4</w:t>
            </w:r>
          </w:p>
        </w:tc>
        <w:tc>
          <w:tcPr>
            <w:tcW w:w="10738" w:type="dxa"/>
          </w:tcPr>
          <w:p>
            <w:pPr>
              <w:spacing w:beforeLines="30" w:afterLines="30" w:line="300" w:lineRule="exact"/>
              <w:ind w:firstLine="480" w:firstLineChars="200"/>
              <w:rPr>
                <w:lang w:eastAsia="zh-CN"/>
              </w:rPr>
            </w:pPr>
            <w:r>
              <w:rPr>
                <w:rFonts w:hAnsi="宋体"/>
                <w:lang w:eastAsia="zh-CN"/>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pPr>
              <w:spacing w:beforeLines="30" w:afterLines="30" w:line="300" w:lineRule="exact"/>
              <w:ind w:firstLine="480" w:firstLineChars="200"/>
              <w:rPr>
                <w:lang w:eastAsia="zh-CN"/>
              </w:rPr>
            </w:pPr>
            <w:r>
              <w:rPr>
                <w:rFonts w:hAnsi="宋体"/>
                <w:lang w:eastAsia="zh-CN"/>
              </w:rPr>
              <w:t>原材料依据不同的类型和防护要求进行防护运输，产品运输要求包装等。</w:t>
            </w:r>
          </w:p>
          <w:p>
            <w:pPr>
              <w:spacing w:beforeLines="30" w:afterLines="30" w:line="300" w:lineRule="exact"/>
              <w:ind w:firstLine="480" w:firstLineChars="200"/>
              <w:rPr>
                <w:lang w:eastAsia="zh-CN"/>
              </w:rPr>
            </w:pPr>
            <w:r>
              <w:rPr>
                <w:rFonts w:hAnsi="宋体"/>
                <w:lang w:eastAsia="zh-CN"/>
              </w:rPr>
              <w:t>生产车间原材料分类分区放置在指定仓库、产品标识方法得当、未发现不同类型和状态产品发生混淆现象。标识和可追溯性基本符合标准要求。</w:t>
            </w:r>
          </w:p>
          <w:p>
            <w:pPr>
              <w:spacing w:beforeLines="30" w:afterLines="30" w:line="300" w:lineRule="exact"/>
              <w:ind w:firstLine="480" w:firstLineChars="200"/>
              <w:rPr>
                <w:lang w:eastAsia="zh-CN"/>
              </w:rPr>
            </w:pPr>
            <w:r>
              <w:rPr>
                <w:rFonts w:hAnsi="宋体"/>
                <w:lang w:eastAsia="zh-CN"/>
              </w:rPr>
              <w:t>产品生产过程中有采取相应的措施进行防护，以确保符合要求。防护包括标识、处置、污染控制、包装、储存、运输以及保护等。运输过程中螺丝固定于车厢上，用冷板钢材做成的拉条井字形围于四面进行防护；产品交工、包装及交付到预定地点期间，针对产品采取适当的防护措施，包括选择合适的搬运方法和设备（叉车）、行车、贮存场所，保持标识完整、清晰。</w:t>
            </w:r>
          </w:p>
          <w:p>
            <w:pPr>
              <w:spacing w:beforeLines="30" w:afterLines="30" w:line="300" w:lineRule="exact"/>
              <w:ind w:firstLine="480" w:firstLineChars="200"/>
              <w:rPr>
                <w:lang w:eastAsia="zh-CN"/>
              </w:rPr>
            </w:pPr>
            <w:r>
              <w:rPr>
                <w:rFonts w:hAnsi="宋体"/>
                <w:lang w:eastAsia="zh-CN"/>
              </w:rPr>
              <w:t>产品标识和防护管理基本符合要求。</w:t>
            </w:r>
          </w:p>
        </w:tc>
        <w:tc>
          <w:tcPr>
            <w:tcW w:w="851"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954" w:type="dxa"/>
          </w:tcPr>
          <w:p>
            <w:r>
              <w:rPr>
                <w:rFonts w:hAnsi="宋体"/>
              </w:rPr>
              <w:t>更改的控制</w:t>
            </w:r>
          </w:p>
          <w:p/>
        </w:tc>
        <w:tc>
          <w:tcPr>
            <w:tcW w:w="1166" w:type="dxa"/>
          </w:tcPr>
          <w:p>
            <w:r>
              <w:t>Q8.5.6</w:t>
            </w:r>
          </w:p>
        </w:tc>
        <w:tc>
          <w:tcPr>
            <w:tcW w:w="10738" w:type="dxa"/>
          </w:tcPr>
          <w:p>
            <w:pPr>
              <w:spacing w:beforeLines="30" w:afterLines="30" w:line="300" w:lineRule="exact"/>
              <w:ind w:firstLine="480" w:firstLineChars="200"/>
              <w:rPr>
                <w:lang w:eastAsia="zh-CN"/>
              </w:rPr>
            </w:pPr>
            <w:r>
              <w:rPr>
                <w:rFonts w:hAnsi="宋体"/>
                <w:lang w:eastAsia="zh-CN"/>
              </w:rPr>
              <w:t>对生产服务提供的更改进行必要的评审和控制，以确保稳定的符合要求。</w:t>
            </w:r>
          </w:p>
          <w:p>
            <w:pPr>
              <w:spacing w:beforeLines="30" w:afterLines="30" w:line="300" w:lineRule="exact"/>
              <w:ind w:firstLine="480" w:firstLineChars="200"/>
              <w:rPr>
                <w:lang w:eastAsia="zh-CN"/>
              </w:rPr>
            </w:pPr>
            <w:r>
              <w:rPr>
                <w:rFonts w:hAnsi="宋体"/>
                <w:lang w:eastAsia="zh-CN"/>
              </w:rPr>
              <w:t>组织保留形成文件的信息，包括有关更改评审结果、授权进行更改的人员以及根据评审所采取的必要措施。</w:t>
            </w:r>
          </w:p>
          <w:p>
            <w:pPr>
              <w:spacing w:beforeLines="30" w:afterLines="30" w:line="300" w:lineRule="exact"/>
              <w:ind w:firstLine="480" w:firstLineChars="200"/>
              <w:rPr>
                <w:lang w:eastAsia="zh-CN"/>
              </w:rPr>
            </w:pPr>
            <w:r>
              <w:rPr>
                <w:rFonts w:hAnsi="宋体"/>
                <w:lang w:eastAsia="zh-CN"/>
              </w:rPr>
              <w:t>经询问，目前无生产的变更。</w:t>
            </w:r>
          </w:p>
        </w:tc>
        <w:tc>
          <w:tcPr>
            <w:tcW w:w="851"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954" w:type="dxa"/>
          </w:tcPr>
          <w:p>
            <w:pPr>
              <w:rPr>
                <w:lang w:eastAsia="zh-CN"/>
              </w:rPr>
            </w:pPr>
            <w:r>
              <w:rPr>
                <w:rFonts w:hAnsi="宋体"/>
                <w:bCs/>
                <w:lang w:eastAsia="zh-CN"/>
              </w:rPr>
              <w:t>环境和职业健康安全运行控制</w:t>
            </w:r>
          </w:p>
        </w:tc>
        <w:tc>
          <w:tcPr>
            <w:tcW w:w="1166" w:type="dxa"/>
          </w:tcPr>
          <w:p>
            <w:pPr>
              <w:rPr>
                <w:b/>
              </w:rPr>
            </w:pPr>
            <w:r>
              <w:rPr>
                <w:b/>
              </w:rPr>
              <w:t>EO8.1</w:t>
            </w:r>
          </w:p>
          <w:p>
            <w:pPr>
              <w:rPr>
                <w:b/>
              </w:rPr>
            </w:pPr>
          </w:p>
          <w:p/>
        </w:tc>
        <w:tc>
          <w:tcPr>
            <w:tcW w:w="10738" w:type="dxa"/>
          </w:tcPr>
          <w:p>
            <w:pPr>
              <w:spacing w:beforeLines="30" w:afterLines="30" w:line="300" w:lineRule="exact"/>
              <w:ind w:firstLine="480" w:firstLineChars="200"/>
              <w:rPr>
                <w:rFonts w:hAnsi="宋体"/>
                <w:lang w:eastAsia="zh-CN"/>
              </w:rPr>
            </w:pPr>
            <w:r>
              <w:rPr>
                <w:rFonts w:hAnsi="宋体"/>
                <w:lang w:eastAsia="zh-CN"/>
              </w:rPr>
              <w:t>编制与环境、安全体系运行控制有关的文件有运行控制程序、废弃物控制程序、噪声控制程序、消防控制程序、劳动防护用品控制程序、化学品油品控制程序、资源能源控制程序、应急准备和响应控制程序、化学品储存使用管理办法、生产车间噪声控制作业指导书、生产生活固废垃圾处理/利用作业指导书、员工职业健康及劳动保护管理规定、应急预案等。</w:t>
            </w:r>
          </w:p>
          <w:p>
            <w:pPr>
              <w:spacing w:beforeLines="30" w:afterLines="30" w:line="300" w:lineRule="exact"/>
              <w:ind w:firstLine="480" w:firstLineChars="200"/>
              <w:rPr>
                <w:rFonts w:hAnsi="宋体"/>
                <w:lang w:eastAsia="zh-CN"/>
              </w:rPr>
            </w:pPr>
            <w:r>
              <w:rPr>
                <w:rFonts w:hAnsi="宋体"/>
                <w:lang w:eastAsia="zh-CN"/>
              </w:rPr>
              <w:t>一、对噪声达标排放采取措施如下：优化总平面布置，合理布置风机、切割机、修边机、卷圈机等高噪声设备，同时选用低噪声设备，对所用的高噪声设备采用消声、隔声和减震等措施，可有效减低噪声对周围环境的影响。</w:t>
            </w:r>
          </w:p>
          <w:p>
            <w:pPr>
              <w:spacing w:beforeLines="30" w:afterLines="30" w:line="300" w:lineRule="exact"/>
              <w:ind w:firstLine="480" w:firstLineChars="200"/>
              <w:rPr>
                <w:rFonts w:hAnsi="宋体"/>
                <w:lang w:eastAsia="zh-CN"/>
              </w:rPr>
            </w:pPr>
            <w:r>
              <w:rPr>
                <w:rFonts w:hAnsi="宋体"/>
                <w:lang w:eastAsia="zh-CN"/>
              </w:rPr>
              <w:t>二、对固体废弃物分类处置。采取措施如下：按：“资源化、减量化、无害化”原则进行分类处理。一般固废主要为废边角料、废焊接头、炉渣，分类收集后外售、资源化再利用，不外排；污水处理污泥、生活垃圾，由环卫部门定期清运处理。危险废物主要为废切削液、漆渣、废油漆桶、废活性炭、废表达处理液沉渣包括废脱脂液滤渣、废酸洗液沉渣、废表面液和磷化液沉渣，定期交有危废处理资质的单位处理，不外排。</w:t>
            </w:r>
          </w:p>
          <w:p>
            <w:pPr>
              <w:spacing w:beforeLines="30" w:afterLines="30" w:line="300" w:lineRule="exact"/>
              <w:ind w:firstLine="480" w:firstLineChars="200"/>
              <w:rPr>
                <w:rFonts w:hAnsi="宋体"/>
                <w:lang w:eastAsia="zh-CN"/>
              </w:rPr>
            </w:pPr>
            <w:r>
              <w:rPr>
                <w:rFonts w:hAnsi="宋体"/>
                <w:lang w:eastAsia="zh-CN"/>
              </w:rPr>
              <w:t>三、废气污染防治</w:t>
            </w:r>
          </w:p>
          <w:p>
            <w:pPr>
              <w:spacing w:beforeLines="30" w:afterLines="30" w:line="300" w:lineRule="exact"/>
              <w:ind w:firstLine="480" w:firstLineChars="200"/>
              <w:rPr>
                <w:rFonts w:hAnsi="宋体"/>
                <w:lang w:eastAsia="zh-CN"/>
              </w:rPr>
            </w:pPr>
            <w:r>
              <w:rPr>
                <w:rFonts w:hAnsi="宋体"/>
                <w:lang w:eastAsia="zh-CN"/>
              </w:rPr>
              <w:t>废气主要为焊接烟尘、喷漆室废气、喷粉室废气、烘干室废气、燃烧废气和食堂油烟。焊接烟尘采用移动式焊接烟尘净化器对焊接烟尘进行处理。</w:t>
            </w:r>
          </w:p>
          <w:p>
            <w:pPr>
              <w:spacing w:beforeLines="30" w:afterLines="30" w:line="300" w:lineRule="exact"/>
              <w:ind w:firstLine="480" w:firstLineChars="200"/>
              <w:rPr>
                <w:rFonts w:hAnsi="宋体"/>
                <w:lang w:eastAsia="zh-CN"/>
              </w:rPr>
            </w:pPr>
            <w:r>
              <w:rPr>
                <w:rFonts w:hAnsi="宋体"/>
                <w:lang w:eastAsia="zh-CN"/>
              </w:rPr>
              <w:t>喷粉室废气主要污染物为粉尘，采用圆筒形的玻璃纤维过滤装置处理后经1根15米排气筒排放。</w:t>
            </w:r>
          </w:p>
          <w:p>
            <w:pPr>
              <w:spacing w:beforeLines="30" w:afterLines="30" w:line="300" w:lineRule="exact"/>
              <w:ind w:firstLine="480" w:firstLineChars="200"/>
              <w:rPr>
                <w:rFonts w:hAnsi="宋体"/>
                <w:lang w:eastAsia="zh-CN"/>
              </w:rPr>
            </w:pPr>
            <w:r>
              <w:rPr>
                <w:rFonts w:hAnsi="宋体"/>
                <w:lang w:eastAsia="zh-CN"/>
              </w:rPr>
              <w:t>烘干室废气采用活性炭吸附装置处理后经1根15米排气筒排放。</w:t>
            </w:r>
          </w:p>
          <w:p>
            <w:pPr>
              <w:spacing w:beforeLines="30" w:afterLines="30" w:line="300" w:lineRule="exact"/>
              <w:ind w:firstLine="480" w:firstLineChars="200"/>
              <w:rPr>
                <w:rFonts w:hAnsi="宋体"/>
                <w:lang w:eastAsia="zh-CN"/>
              </w:rPr>
            </w:pPr>
            <w:r>
              <w:rPr>
                <w:rFonts w:hAnsi="宋体"/>
                <w:lang w:eastAsia="zh-CN"/>
              </w:rPr>
              <w:t>脱水炉和固化炉以生物质为燃烧，废气分别经经1根15米排气筒排放。</w:t>
            </w:r>
          </w:p>
          <w:p>
            <w:pPr>
              <w:spacing w:beforeLines="30" w:afterLines="30" w:line="300" w:lineRule="exact"/>
              <w:ind w:firstLine="480" w:firstLineChars="200"/>
              <w:rPr>
                <w:rFonts w:hAnsi="宋体"/>
                <w:lang w:eastAsia="zh-CN"/>
              </w:rPr>
            </w:pPr>
            <w:r>
              <w:rPr>
                <w:rFonts w:hAnsi="宋体"/>
                <w:lang w:eastAsia="zh-CN"/>
              </w:rPr>
              <w:t>酸洗池散发有氯化氢气体经管道收集，风机抽至1根15米排气筒排放，饮食油烟安装排油烟净化器，烟气经处理后高空排放。</w:t>
            </w:r>
          </w:p>
          <w:p>
            <w:pPr>
              <w:spacing w:beforeLines="30" w:afterLines="30" w:line="300" w:lineRule="exact"/>
              <w:ind w:firstLine="480" w:firstLineChars="200"/>
              <w:rPr>
                <w:rFonts w:hAnsi="宋体"/>
                <w:lang w:eastAsia="zh-CN"/>
              </w:rPr>
            </w:pPr>
            <w:r>
              <w:rPr>
                <w:rFonts w:hAnsi="宋体"/>
                <w:lang w:eastAsia="zh-CN"/>
              </w:rPr>
              <w:t>四、废水污染防治</w:t>
            </w:r>
          </w:p>
          <w:p>
            <w:pPr>
              <w:spacing w:beforeLines="30" w:afterLines="30" w:line="300" w:lineRule="exact"/>
              <w:ind w:firstLine="480" w:firstLineChars="200"/>
              <w:rPr>
                <w:rFonts w:hAnsi="宋体"/>
                <w:lang w:eastAsia="zh-CN"/>
              </w:rPr>
            </w:pPr>
            <w:r>
              <w:rPr>
                <w:rFonts w:hAnsi="宋体"/>
                <w:lang w:eastAsia="zh-CN"/>
              </w:rPr>
              <w:t>按“清污分流、雨污分流”原则建厂区排水管网，废水主要为脱脂清洗废水、酸洗废水、表面废水、磷化废水、磷化清洗废水及生活污水，生活污水经隔油+化粪池处理后，入厂区生活污水处理站处理。脱脂废水经隔油沉淀池预处理；酸洗废水经中和沉淀预处理；表面废水、磷化废水、磷化清洗废水经一级絮凝沉淀池处理后，与生活废水一并达到《污水综合排放标准》（GB8978-1996）中一级标准</w:t>
            </w:r>
          </w:p>
          <w:p>
            <w:pPr>
              <w:tabs>
                <w:tab w:val="center" w:pos="4535"/>
                <w:tab w:val="left" w:pos="7128"/>
              </w:tabs>
              <w:adjustRightInd w:val="0"/>
              <w:spacing w:line="288" w:lineRule="auto"/>
              <w:ind w:firstLine="480" w:firstLineChars="200"/>
              <w:textAlignment w:val="baseline"/>
              <w:rPr>
                <w:rFonts w:hAnsiTheme="minorEastAsia"/>
                <w:lang w:eastAsia="zh-CN"/>
              </w:rPr>
            </w:pPr>
            <w:r>
              <w:rPr>
                <w:rFonts w:hint="eastAsia" w:hAnsiTheme="minorEastAsia"/>
                <w:lang w:eastAsia="zh-CN"/>
              </w:rPr>
              <w:t>提供了2020-2021年污水处理设备运行记录，运行正常。</w:t>
            </w:r>
          </w:p>
          <w:p>
            <w:pPr>
              <w:tabs>
                <w:tab w:val="center" w:pos="4535"/>
                <w:tab w:val="left" w:pos="7128"/>
              </w:tabs>
              <w:adjustRightInd w:val="0"/>
              <w:spacing w:line="288" w:lineRule="auto"/>
              <w:ind w:firstLine="480" w:firstLineChars="200"/>
              <w:textAlignment w:val="baseline"/>
              <w:rPr>
                <w:lang w:eastAsia="zh-CN"/>
              </w:rPr>
            </w:pPr>
            <w:r>
              <w:rPr>
                <w:lang w:eastAsia="zh-CN" w:bidi="ar-SA"/>
              </w:rPr>
              <w:drawing>
                <wp:inline distT="0" distB="0" distL="0" distR="0">
                  <wp:extent cx="2273300" cy="2809875"/>
                  <wp:effectExtent l="19050" t="0" r="0" b="0"/>
                  <wp:docPr id="56" name="图片 56" descr="C:\Users\ADMINI~1.USE\AppData\Local\Temp\16170846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1.USE\AppData\Local\Temp\1617084626(1).png"/>
                          <pic:cNvPicPr>
                            <a:picLocks noChangeAspect="1" noChangeArrowheads="1"/>
                          </pic:cNvPicPr>
                        </pic:nvPicPr>
                        <pic:blipFill>
                          <a:blip r:embed="rId7"/>
                          <a:srcRect/>
                          <a:stretch>
                            <a:fillRect/>
                          </a:stretch>
                        </pic:blipFill>
                        <pic:spPr>
                          <a:xfrm>
                            <a:off x="0" y="0"/>
                            <a:ext cx="2276784" cy="2813616"/>
                          </a:xfrm>
                          <a:prstGeom prst="rect">
                            <a:avLst/>
                          </a:prstGeom>
                          <a:noFill/>
                          <a:ln w="9525">
                            <a:noFill/>
                            <a:miter lim="800000"/>
                            <a:headEnd/>
                            <a:tailEnd/>
                          </a:ln>
                        </pic:spPr>
                      </pic:pic>
                    </a:graphicData>
                  </a:graphic>
                </wp:inline>
              </w:drawing>
            </w:r>
            <w:r>
              <w:rPr>
                <w:lang w:eastAsia="zh-CN"/>
              </w:rPr>
              <w:t xml:space="preserve"> </w:t>
            </w:r>
            <w:r>
              <w:rPr>
                <w:lang w:eastAsia="zh-CN" w:bidi="ar-SA"/>
              </w:rPr>
              <w:drawing>
                <wp:inline distT="0" distB="0" distL="0" distR="0">
                  <wp:extent cx="3044190" cy="2457450"/>
                  <wp:effectExtent l="19050" t="0" r="3216" b="0"/>
                  <wp:docPr id="3" name="图片 1" descr="C:\Users\ADMINI~1.USE\AppData\Local\Temp\16170847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USE\AppData\Local\Temp\1617084749(1).png"/>
                          <pic:cNvPicPr>
                            <a:picLocks noChangeAspect="1" noChangeArrowheads="1"/>
                          </pic:cNvPicPr>
                        </pic:nvPicPr>
                        <pic:blipFill>
                          <a:blip r:embed="rId8"/>
                          <a:srcRect/>
                          <a:stretch>
                            <a:fillRect/>
                          </a:stretch>
                        </pic:blipFill>
                        <pic:spPr>
                          <a:xfrm>
                            <a:off x="0" y="0"/>
                            <a:ext cx="3044646" cy="2457680"/>
                          </a:xfrm>
                          <a:prstGeom prst="rect">
                            <a:avLst/>
                          </a:prstGeom>
                          <a:noFill/>
                          <a:ln w="9525">
                            <a:noFill/>
                            <a:miter lim="800000"/>
                            <a:headEnd/>
                            <a:tailEnd/>
                          </a:ln>
                        </pic:spPr>
                      </pic:pic>
                    </a:graphicData>
                  </a:graphic>
                </wp:inline>
              </w:drawing>
            </w:r>
          </w:p>
          <w:p>
            <w:pPr>
              <w:tabs>
                <w:tab w:val="center" w:pos="4535"/>
                <w:tab w:val="left" w:pos="7128"/>
              </w:tabs>
              <w:adjustRightInd w:val="0"/>
              <w:spacing w:line="288" w:lineRule="auto"/>
              <w:ind w:firstLine="480" w:firstLineChars="200"/>
              <w:textAlignment w:val="baseline"/>
              <w:rPr>
                <w:rFonts w:hAnsiTheme="minorEastAsia"/>
                <w:lang w:eastAsia="zh-CN"/>
              </w:rPr>
            </w:pPr>
            <w:r>
              <w:rPr>
                <w:rFonts w:hint="eastAsia" w:hAnsiTheme="minorEastAsia"/>
                <w:lang w:eastAsia="zh-CN"/>
              </w:rPr>
              <w:t>提供了2019年5月份三废监测报告，（编号：GAJC-2019(E1)-0236-1），检测单位：江西赣安检测技术有限公司；检测项目：废水、废气、噪音等。报告各测数据在标准范围之内，见附件报告。</w:t>
            </w:r>
          </w:p>
          <w:p>
            <w:pPr>
              <w:tabs>
                <w:tab w:val="center" w:pos="4535"/>
                <w:tab w:val="left" w:pos="7128"/>
              </w:tabs>
              <w:adjustRightInd w:val="0"/>
              <w:spacing w:line="288" w:lineRule="auto"/>
              <w:ind w:firstLine="480" w:firstLineChars="200"/>
              <w:textAlignment w:val="baseline"/>
              <w:rPr>
                <w:rFonts w:hAnsiTheme="minorEastAsia"/>
                <w:lang w:eastAsia="zh-CN"/>
              </w:rPr>
            </w:pPr>
            <w:r>
              <w:rPr>
                <w:rFonts w:hint="eastAsia" w:hAnsiTheme="minorEastAsia"/>
                <w:lang w:eastAsia="zh-CN"/>
              </w:rPr>
              <w:t>同企业各相关负责人进行了沟通，建议企业定期进行三废检测，企业负责人付总、管代肖总介绍说公司将于今年开始进行搬新厂房，搬厂后将重新进行环境影响评价并进行三废检测。</w:t>
            </w:r>
          </w:p>
          <w:p>
            <w:pPr>
              <w:spacing w:beforeLines="30" w:afterLines="30" w:line="300" w:lineRule="exact"/>
              <w:ind w:firstLine="480" w:firstLineChars="200"/>
              <w:rPr>
                <w:rFonts w:hAnsi="宋体"/>
                <w:lang w:eastAsia="zh-CN"/>
              </w:rPr>
            </w:pPr>
            <w:r>
              <w:rPr>
                <w:rFonts w:hint="eastAsia" w:hAnsi="宋体"/>
                <w:lang w:eastAsia="zh-CN"/>
              </w:rPr>
              <w:t>五、职业病危害因素检测</w:t>
            </w:r>
          </w:p>
          <w:p>
            <w:pPr>
              <w:spacing w:beforeLines="30" w:afterLines="30" w:line="300" w:lineRule="exact"/>
              <w:ind w:firstLine="480" w:firstLineChars="200"/>
              <w:rPr>
                <w:rFonts w:hAnsi="宋体"/>
                <w:lang w:eastAsia="zh-CN"/>
              </w:rPr>
            </w:pPr>
            <w:r>
              <w:rPr>
                <w:rFonts w:hint="eastAsia" w:hAnsi="宋体"/>
                <w:lang w:eastAsia="zh-CN"/>
              </w:rPr>
              <w:t>提供了《江西欣盛泰实业有限公司职业病危害因素检测报告》，对焊接烟尘、打磨磨尘、噪音（冲压、折弯、剪切、喷涂等）、紫外线辐射等项进行检测与分析，判定结果：合格；检测机构：江西省矿检安全科技有限公司，时间：2021年1月6日；见附件。</w:t>
            </w:r>
          </w:p>
          <w:p>
            <w:pPr>
              <w:tabs>
                <w:tab w:val="center" w:pos="4535"/>
                <w:tab w:val="left" w:pos="7128"/>
              </w:tabs>
              <w:adjustRightInd w:val="0"/>
              <w:spacing w:line="288" w:lineRule="auto"/>
              <w:ind w:firstLine="480" w:firstLineChars="200"/>
              <w:textAlignment w:val="baseline"/>
              <w:rPr>
                <w:rFonts w:hAnsiTheme="minorEastAsia"/>
                <w:lang w:eastAsia="zh-CN"/>
              </w:rPr>
            </w:pPr>
            <w:r>
              <w:rPr>
                <w:rFonts w:hAnsiTheme="minorEastAsia"/>
                <w:lang w:eastAsia="zh-CN"/>
              </w:rPr>
              <w:t>六、现场见</w:t>
            </w:r>
            <w:r>
              <w:rPr>
                <w:rFonts w:hint="eastAsia" w:hAnsiTheme="minorEastAsia"/>
                <w:lang w:eastAsia="zh-CN"/>
              </w:rPr>
              <w:t>2020-</w:t>
            </w:r>
            <w:r>
              <w:rPr>
                <w:rFonts w:hAnsiTheme="minorEastAsia"/>
                <w:lang w:eastAsia="zh-CN"/>
              </w:rPr>
              <w:t>20</w:t>
            </w:r>
            <w:r>
              <w:rPr>
                <w:rFonts w:hint="eastAsia" w:hAnsiTheme="minorEastAsia"/>
                <w:lang w:eastAsia="zh-CN"/>
              </w:rPr>
              <w:t>21</w:t>
            </w:r>
            <w:r>
              <w:rPr>
                <w:rFonts w:hAnsiTheme="minorEastAsia"/>
                <w:lang w:eastAsia="zh-CN"/>
              </w:rPr>
              <w:t>年环境安全检查记录表，每月对抽查环境安全情况进行检查，检查项目主要有：</w:t>
            </w:r>
            <w:r>
              <w:rPr>
                <w:rFonts w:hint="eastAsia" w:hAnsiTheme="minorEastAsia"/>
                <w:lang w:eastAsia="zh-CN"/>
              </w:rPr>
              <w:t>各区域卫生垃圾处理，废料处理、物料储存安全情况；消防设施是否完好；消防通道是否畅通；消防设施是否定期进行点检；人员是否按规定穿戴防护用品，设备安全情况、噪音情况、生产安全用电情况、用电是否有乱搭线现象；接地保护是否完好、能源消耗等.</w:t>
            </w:r>
          </w:p>
          <w:p>
            <w:pPr>
              <w:tabs>
                <w:tab w:val="center" w:pos="4535"/>
                <w:tab w:val="left" w:pos="7128"/>
              </w:tabs>
              <w:adjustRightInd w:val="0"/>
              <w:spacing w:line="288" w:lineRule="auto"/>
              <w:ind w:firstLine="480" w:firstLineChars="200"/>
              <w:textAlignment w:val="baseline"/>
              <w:rPr>
                <w:rFonts w:hAnsiTheme="minorEastAsia"/>
                <w:lang w:eastAsia="zh-CN"/>
              </w:rPr>
            </w:pPr>
            <w:r>
              <w:rPr>
                <w:rFonts w:hint="eastAsia" w:hAnsiTheme="minorEastAsia"/>
                <w:lang w:eastAsia="zh-CN"/>
              </w:rPr>
              <w:t>查看</w:t>
            </w:r>
            <w:r>
              <w:rPr>
                <w:rFonts w:hAnsiTheme="minorEastAsia"/>
                <w:lang w:eastAsia="zh-CN"/>
              </w:rPr>
              <w:t>了</w:t>
            </w:r>
            <w:r>
              <w:rPr>
                <w:rFonts w:hint="eastAsia" w:hAnsiTheme="minorEastAsia"/>
                <w:lang w:eastAsia="zh-CN"/>
              </w:rPr>
              <w:t>2021年1月-2月各月检查记录，检查结果均正常</w:t>
            </w:r>
            <w:r>
              <w:rPr>
                <w:rFonts w:hAnsiTheme="minorEastAsia"/>
                <w:lang w:eastAsia="zh-CN"/>
              </w:rPr>
              <w:t>，检查人</w:t>
            </w:r>
            <w:r>
              <w:rPr>
                <w:rFonts w:hint="eastAsia" w:hAnsiTheme="minorEastAsia"/>
                <w:lang w:eastAsia="zh-CN"/>
              </w:rPr>
              <w:t>黄国军、廖荣辉等</w:t>
            </w:r>
            <w:r>
              <w:rPr>
                <w:rFonts w:hAnsiTheme="minorEastAsia"/>
                <w:lang w:eastAsia="zh-CN"/>
              </w:rPr>
              <w:t>。</w:t>
            </w:r>
          </w:p>
          <w:p>
            <w:pPr>
              <w:spacing w:beforeLines="30" w:afterLines="30" w:line="300" w:lineRule="exact"/>
              <w:ind w:firstLine="480" w:firstLineChars="200"/>
              <w:rPr>
                <w:rFonts w:hAnsi="宋体"/>
                <w:lang w:eastAsia="zh-CN"/>
              </w:rPr>
            </w:pPr>
            <w:r>
              <w:rPr>
                <w:rFonts w:hAnsi="宋体"/>
                <w:lang w:eastAsia="zh-CN"/>
              </w:rPr>
              <w:t>七、现场运行控制：</w:t>
            </w:r>
          </w:p>
          <w:p>
            <w:pPr>
              <w:spacing w:beforeLines="30" w:afterLines="30" w:line="300" w:lineRule="exact"/>
              <w:ind w:firstLine="480" w:firstLineChars="200"/>
              <w:rPr>
                <w:rFonts w:hAnsi="宋体"/>
                <w:lang w:eastAsia="zh-CN"/>
              </w:rPr>
            </w:pPr>
            <w:r>
              <w:rPr>
                <w:rFonts w:hAnsi="宋体"/>
                <w:lang w:eastAsia="zh-CN"/>
              </w:rPr>
              <w:t>现场巡视办公及生产区域配备有灭火器和消防栓多个，各车间均配有灭火器。</w:t>
            </w:r>
          </w:p>
          <w:p>
            <w:pPr>
              <w:autoSpaceDE w:val="0"/>
              <w:autoSpaceDN w:val="0"/>
              <w:adjustRightInd w:val="0"/>
              <w:spacing w:line="288" w:lineRule="auto"/>
              <w:ind w:firstLine="480" w:firstLineChars="200"/>
              <w:rPr>
                <w:rFonts w:hAnsiTheme="minorEastAsia"/>
                <w:lang w:eastAsia="zh-CN"/>
              </w:rPr>
            </w:pPr>
            <w:r>
              <w:rPr>
                <w:rFonts w:hAnsiTheme="minorEastAsia"/>
                <w:lang w:eastAsia="zh-CN"/>
              </w:rPr>
              <w:t>现场查看各工序设备运转正常，人员操作方法合理，并佩带相应的防护措施，如耳塞、口罩、手套等。操作人员穿戴有工作衣、工作鞋、工作帽等安全防护用品。生产车间内操作和选用低噪声的设备和工具，同时加强设备的检查和维保，确保机械设备在正常工况下运行，噪声能达标排放，环保设施运行正常。</w:t>
            </w:r>
          </w:p>
          <w:p>
            <w:pPr>
              <w:spacing w:beforeLines="30" w:afterLines="30" w:line="300" w:lineRule="exact"/>
              <w:ind w:firstLine="480" w:firstLineChars="200"/>
              <w:rPr>
                <w:rFonts w:hAnsi="宋体"/>
                <w:lang w:eastAsia="zh-CN"/>
              </w:rPr>
            </w:pPr>
            <w:r>
              <w:rPr>
                <w:rFonts w:hAnsi="宋体"/>
                <w:lang w:eastAsia="zh-CN"/>
              </w:rPr>
              <w:t>各车间安全设施设有提示说明，方便取用，未发现遮挡消防设施和挤占消防通道的情况。</w:t>
            </w:r>
          </w:p>
          <w:p>
            <w:pPr>
              <w:spacing w:beforeLines="30" w:afterLines="30" w:line="300" w:lineRule="exact"/>
              <w:ind w:firstLine="480" w:firstLineChars="200"/>
              <w:rPr>
                <w:rFonts w:hAnsi="宋体"/>
                <w:lang w:eastAsia="zh-CN"/>
              </w:rPr>
            </w:pPr>
            <w:r>
              <w:rPr>
                <w:rFonts w:hAnsi="宋体"/>
                <w:lang w:eastAsia="zh-CN"/>
              </w:rPr>
              <w:t>车间有安全操作规程和职业危害告知卡，对火灾和噪声伤害进行了告知，设备有防护罩，现场操作人员配戴耳塞，口罩，搬运人员配戴线手套，穿着工作服。</w:t>
            </w:r>
          </w:p>
          <w:p>
            <w:pPr>
              <w:spacing w:beforeLines="30" w:afterLines="30" w:line="300" w:lineRule="exact"/>
              <w:ind w:firstLine="480" w:firstLineChars="200"/>
              <w:rPr>
                <w:rFonts w:hAnsi="宋体"/>
                <w:lang w:eastAsia="zh-CN"/>
              </w:rPr>
            </w:pPr>
            <w:r>
              <w:rPr>
                <w:rFonts w:hAnsi="宋体"/>
                <w:lang w:eastAsia="zh-CN"/>
              </w:rPr>
              <w:t>生产车间用彩钢瓦封闭，厂房内操作和选用低噪声的设备和工具，同时加强设备的检查和维保，确保机械设备在正常工况下运行，噪声能达标排放，环保设施运行正常。</w:t>
            </w:r>
          </w:p>
          <w:p>
            <w:pPr>
              <w:spacing w:beforeLines="30" w:afterLines="30" w:line="300" w:lineRule="exact"/>
              <w:ind w:firstLine="480" w:firstLineChars="200"/>
              <w:rPr>
                <w:rFonts w:hAnsi="宋体"/>
                <w:lang w:eastAsia="zh-CN"/>
              </w:rPr>
            </w:pPr>
            <w:r>
              <w:rPr>
                <w:rFonts w:hint="eastAsia" w:hAnsi="宋体"/>
                <w:lang w:eastAsia="zh-CN"/>
              </w:rPr>
              <w:t>喷涂工序，门口张贴职业病危害告知卡，喷塑人员配戴有手套、防毒口罩等防护用品，加热炉产生的废气经水浴除尘对烟气进行处理，经15米高排气筒排放；喷涂室内产生的粉末涂料粉尘采用旋风除尘器+圆筒形过滤装置过滤（其作用相当于布袋除尘器），对喷塑废气粉尘进行处理，塑粉回收利用再生产，未回收到的粉尘为无组织排放。</w:t>
            </w:r>
          </w:p>
          <w:p>
            <w:pPr>
              <w:spacing w:beforeLines="30" w:afterLines="30" w:line="300" w:lineRule="exact"/>
              <w:ind w:firstLine="480" w:firstLineChars="200"/>
              <w:rPr>
                <w:rFonts w:hAnsi="宋体"/>
                <w:lang w:eastAsia="zh-CN"/>
              </w:rPr>
            </w:pPr>
            <w:r>
              <w:rPr>
                <w:rFonts w:hint="eastAsia" w:hAnsi="宋体"/>
                <w:lang w:eastAsia="zh-CN"/>
              </w:rPr>
              <w:t>冲压、折弯、工序观察到操作工技巧熟练使用，经询问知道一定的安全防护及应急知识，穿戴了防护用品如工作服、手套、口罩、耳塞等，符合要求。</w:t>
            </w:r>
          </w:p>
          <w:p>
            <w:pPr>
              <w:spacing w:beforeLines="30" w:afterLines="30" w:line="300" w:lineRule="exact"/>
              <w:ind w:firstLine="480" w:firstLineChars="200"/>
              <w:rPr>
                <w:rFonts w:hAnsi="宋体"/>
                <w:lang w:eastAsia="zh-CN"/>
              </w:rPr>
            </w:pPr>
            <w:r>
              <w:rPr>
                <w:rFonts w:hint="eastAsia" w:hAnsi="宋体"/>
                <w:lang w:eastAsia="zh-CN"/>
              </w:rPr>
              <w:t>焊接工序，工件焊接过程中，会产生一定量的焊接烟尘。通过车间屋顶安装的风机排放到车间外，主要由二保焊和自动焊接，员工穿戴了工作服、手套、口罩、护目镜等防护用品，符合要求。</w:t>
            </w:r>
          </w:p>
          <w:p>
            <w:pPr>
              <w:spacing w:beforeLines="30" w:afterLines="30" w:line="300" w:lineRule="exact"/>
              <w:ind w:firstLine="480" w:firstLineChars="200"/>
              <w:rPr>
                <w:rFonts w:hAnsi="宋体"/>
                <w:lang w:eastAsia="zh-CN"/>
              </w:rPr>
            </w:pPr>
            <w:r>
              <w:rPr>
                <w:rFonts w:hint="eastAsia" w:hAnsi="宋体"/>
                <w:lang w:eastAsia="zh-CN"/>
              </w:rPr>
              <w:t>各生活垃圾、一般固废、化学品、危废分开存放</w:t>
            </w:r>
          </w:p>
          <w:p>
            <w:pPr>
              <w:spacing w:beforeLines="30" w:afterLines="30" w:line="300" w:lineRule="exact"/>
              <w:ind w:firstLine="480" w:firstLineChars="200"/>
              <w:rPr>
                <w:rFonts w:hAnsi="宋体"/>
                <w:lang w:eastAsia="zh-CN"/>
              </w:rPr>
            </w:pPr>
          </w:p>
          <w:p>
            <w:pPr>
              <w:rPr>
                <w:lang w:eastAsia="zh-CN"/>
              </w:rPr>
            </w:pPr>
            <w:r>
              <w:rPr>
                <w:rFonts w:hint="eastAsia"/>
                <w:lang w:eastAsia="zh-CN" w:bidi="ar-SA"/>
              </w:rPr>
              <w:drawing>
                <wp:anchor distT="0" distB="0" distL="114300" distR="114300" simplePos="0" relativeHeight="251659264" behindDoc="0" locked="0" layoutInCell="1" allowOverlap="1">
                  <wp:simplePos x="0" y="0"/>
                  <wp:positionH relativeFrom="column">
                    <wp:posOffset>3552825</wp:posOffset>
                  </wp:positionH>
                  <wp:positionV relativeFrom="paragraph">
                    <wp:posOffset>43815</wp:posOffset>
                  </wp:positionV>
                  <wp:extent cx="2047875" cy="1419860"/>
                  <wp:effectExtent l="19050" t="0" r="9525" b="0"/>
                  <wp:wrapNone/>
                  <wp:docPr id="69" name="图片 69" descr="C:\Users\ADMINI~1.USE\AppData\Local\Temp\1617086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1.USE\AppData\Local\Temp\1617086388(1).png"/>
                          <pic:cNvPicPr>
                            <a:picLocks noChangeAspect="1" noChangeArrowheads="1"/>
                          </pic:cNvPicPr>
                        </pic:nvPicPr>
                        <pic:blipFill>
                          <a:blip r:embed="rId9"/>
                          <a:srcRect/>
                          <a:stretch>
                            <a:fillRect/>
                          </a:stretch>
                        </pic:blipFill>
                        <pic:spPr>
                          <a:xfrm>
                            <a:off x="0" y="0"/>
                            <a:ext cx="2047875" cy="1419860"/>
                          </a:xfrm>
                          <a:prstGeom prst="rect">
                            <a:avLst/>
                          </a:prstGeom>
                          <a:noFill/>
                          <a:ln w="9525">
                            <a:noFill/>
                            <a:miter lim="800000"/>
                            <a:headEnd/>
                            <a:tailEnd/>
                          </a:ln>
                        </pic:spPr>
                      </pic:pic>
                    </a:graphicData>
                  </a:graphic>
                </wp:anchor>
              </w:drawing>
            </w:r>
            <w:r>
              <w:rPr>
                <w:rFonts w:hint="eastAsia"/>
                <w:lang w:eastAsia="zh-CN" w:bidi="ar-SA"/>
              </w:rPr>
              <w:drawing>
                <wp:anchor distT="0" distB="0" distL="114300" distR="114300" simplePos="0" relativeHeight="251658240" behindDoc="0" locked="0" layoutInCell="1" allowOverlap="1">
                  <wp:simplePos x="0" y="0"/>
                  <wp:positionH relativeFrom="column">
                    <wp:posOffset>228600</wp:posOffset>
                  </wp:positionH>
                  <wp:positionV relativeFrom="paragraph">
                    <wp:posOffset>43815</wp:posOffset>
                  </wp:positionV>
                  <wp:extent cx="2752725" cy="1551940"/>
                  <wp:effectExtent l="19050" t="0" r="9525" b="0"/>
                  <wp:wrapNone/>
                  <wp:docPr id="4" name="图片 68" descr="C:\Users\ADMINI~1.USE\AppData\Local\Temp\1617086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8" descr="C:\Users\ADMINI~1.USE\AppData\Local\Temp\1617086340(1).png"/>
                          <pic:cNvPicPr>
                            <a:picLocks noChangeAspect="1" noChangeArrowheads="1"/>
                          </pic:cNvPicPr>
                        </pic:nvPicPr>
                        <pic:blipFill>
                          <a:blip r:embed="rId10"/>
                          <a:srcRect/>
                          <a:stretch>
                            <a:fillRect/>
                          </a:stretch>
                        </pic:blipFill>
                        <pic:spPr>
                          <a:xfrm>
                            <a:off x="0" y="0"/>
                            <a:ext cx="2752725" cy="1551940"/>
                          </a:xfrm>
                          <a:prstGeom prst="rect">
                            <a:avLst/>
                          </a:prstGeom>
                          <a:noFill/>
                          <a:ln w="9525">
                            <a:noFill/>
                            <a:miter lim="800000"/>
                            <a:headEnd/>
                            <a:tailEnd/>
                          </a:ln>
                        </pic:spPr>
                      </pic:pic>
                    </a:graphicData>
                  </a:graphic>
                </wp:anchor>
              </w:drawing>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r>
              <w:rPr>
                <w:rFonts w:hint="eastAsia"/>
                <w:lang w:eastAsia="zh-CN" w:bidi="ar-SA"/>
              </w:rPr>
              <w:drawing>
                <wp:anchor distT="0" distB="0" distL="114300" distR="114300" simplePos="0" relativeHeight="251661312" behindDoc="0" locked="0" layoutInCell="1" allowOverlap="1">
                  <wp:simplePos x="0" y="0"/>
                  <wp:positionH relativeFrom="column">
                    <wp:posOffset>2981325</wp:posOffset>
                  </wp:positionH>
                  <wp:positionV relativeFrom="paragraph">
                    <wp:posOffset>78105</wp:posOffset>
                  </wp:positionV>
                  <wp:extent cx="2914650" cy="1790700"/>
                  <wp:effectExtent l="19050" t="0" r="0" b="0"/>
                  <wp:wrapNone/>
                  <wp:docPr id="71" name="图片 71" descr="C:\Users\ADMINI~1.USE\AppData\Local\Temp\1617086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1.USE\AppData\Local\Temp\1617086480(1).png"/>
                          <pic:cNvPicPr>
                            <a:picLocks noChangeAspect="1" noChangeArrowheads="1"/>
                          </pic:cNvPicPr>
                        </pic:nvPicPr>
                        <pic:blipFill>
                          <a:blip r:embed="rId11"/>
                          <a:srcRect/>
                          <a:stretch>
                            <a:fillRect/>
                          </a:stretch>
                        </pic:blipFill>
                        <pic:spPr>
                          <a:xfrm>
                            <a:off x="0" y="0"/>
                            <a:ext cx="2914650" cy="1790700"/>
                          </a:xfrm>
                          <a:prstGeom prst="rect">
                            <a:avLst/>
                          </a:prstGeom>
                          <a:noFill/>
                          <a:ln w="9525">
                            <a:noFill/>
                            <a:miter lim="800000"/>
                            <a:headEnd/>
                            <a:tailEnd/>
                          </a:ln>
                        </pic:spPr>
                      </pic:pic>
                    </a:graphicData>
                  </a:graphic>
                </wp:anchor>
              </w:drawing>
            </w:r>
            <w:r>
              <w:rPr>
                <w:rFonts w:hint="eastAsia"/>
                <w:lang w:eastAsia="zh-CN" w:bidi="ar-SA"/>
              </w:rPr>
              <w:drawing>
                <wp:anchor distT="0" distB="0" distL="114300" distR="114300" simplePos="0" relativeHeight="251660288" behindDoc="0" locked="0" layoutInCell="1" allowOverlap="1">
                  <wp:simplePos x="0" y="0"/>
                  <wp:positionH relativeFrom="column">
                    <wp:posOffset>228600</wp:posOffset>
                  </wp:positionH>
                  <wp:positionV relativeFrom="paragraph">
                    <wp:posOffset>78105</wp:posOffset>
                  </wp:positionV>
                  <wp:extent cx="2663190" cy="1885950"/>
                  <wp:effectExtent l="19050" t="0" r="3810" b="0"/>
                  <wp:wrapNone/>
                  <wp:docPr id="70" name="图片 70" descr="C:\Users\ADMINI~1.USE\AppData\Local\Temp\16170864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1.USE\AppData\Local\Temp\1617086437(1).png"/>
                          <pic:cNvPicPr>
                            <a:picLocks noChangeAspect="1" noChangeArrowheads="1"/>
                          </pic:cNvPicPr>
                        </pic:nvPicPr>
                        <pic:blipFill>
                          <a:blip r:embed="rId12"/>
                          <a:srcRect/>
                          <a:stretch>
                            <a:fillRect/>
                          </a:stretch>
                        </pic:blipFill>
                        <pic:spPr>
                          <a:xfrm>
                            <a:off x="0" y="0"/>
                            <a:ext cx="2663190" cy="1885950"/>
                          </a:xfrm>
                          <a:prstGeom prst="rect">
                            <a:avLst/>
                          </a:prstGeom>
                          <a:noFill/>
                          <a:ln w="9525">
                            <a:noFill/>
                            <a:miter lim="800000"/>
                            <a:headEnd/>
                            <a:tailEnd/>
                          </a:ln>
                        </pic:spPr>
                      </pic:pic>
                    </a:graphicData>
                  </a:graphic>
                </wp:anchor>
              </w:drawing>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r>
              <w:rPr>
                <w:rFonts w:hint="eastAsia"/>
                <w:lang w:eastAsia="zh-CN" w:bidi="ar-SA"/>
              </w:rPr>
              <w:drawing>
                <wp:anchor distT="0" distB="0" distL="114300" distR="114300" simplePos="0" relativeHeight="251664384" behindDoc="0" locked="0" layoutInCell="1" allowOverlap="1">
                  <wp:simplePos x="0" y="0"/>
                  <wp:positionH relativeFrom="column">
                    <wp:posOffset>2552700</wp:posOffset>
                  </wp:positionH>
                  <wp:positionV relativeFrom="paragraph">
                    <wp:posOffset>180975</wp:posOffset>
                  </wp:positionV>
                  <wp:extent cx="1285875" cy="2000885"/>
                  <wp:effectExtent l="19050" t="0" r="9525" b="0"/>
                  <wp:wrapNone/>
                  <wp:docPr id="74" name="图片 74" descr="C:\Users\ADMINI~1.USE\AppData\Local\Temp\16170878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ADMINI~1.USE\AppData\Local\Temp\1617087875(1).png"/>
                          <pic:cNvPicPr>
                            <a:picLocks noChangeAspect="1" noChangeArrowheads="1"/>
                          </pic:cNvPicPr>
                        </pic:nvPicPr>
                        <pic:blipFill>
                          <a:blip r:embed="rId13"/>
                          <a:srcRect/>
                          <a:stretch>
                            <a:fillRect/>
                          </a:stretch>
                        </pic:blipFill>
                        <pic:spPr>
                          <a:xfrm>
                            <a:off x="0" y="0"/>
                            <a:ext cx="1285875" cy="2000572"/>
                          </a:xfrm>
                          <a:prstGeom prst="rect">
                            <a:avLst/>
                          </a:prstGeom>
                          <a:noFill/>
                          <a:ln w="9525">
                            <a:noFill/>
                            <a:miter lim="800000"/>
                            <a:headEnd/>
                            <a:tailEnd/>
                          </a:ln>
                        </pic:spPr>
                      </pic:pic>
                    </a:graphicData>
                  </a:graphic>
                </wp:anchor>
              </w:drawing>
            </w:r>
          </w:p>
          <w:p>
            <w:pPr>
              <w:rPr>
                <w:lang w:eastAsia="zh-CN"/>
              </w:rPr>
            </w:pPr>
            <w:r>
              <w:rPr>
                <w:rFonts w:hint="eastAsia"/>
                <w:lang w:eastAsia="zh-CN" w:bidi="ar-SA"/>
              </w:rPr>
              <w:drawing>
                <wp:anchor distT="0" distB="0" distL="114300" distR="114300" simplePos="0" relativeHeight="251663360" behindDoc="0" locked="0" layoutInCell="1" allowOverlap="1">
                  <wp:simplePos x="0" y="0"/>
                  <wp:positionH relativeFrom="column">
                    <wp:posOffset>590550</wp:posOffset>
                  </wp:positionH>
                  <wp:positionV relativeFrom="paragraph">
                    <wp:posOffset>40005</wp:posOffset>
                  </wp:positionV>
                  <wp:extent cx="1371600" cy="2066925"/>
                  <wp:effectExtent l="19050" t="0" r="0" b="0"/>
                  <wp:wrapNone/>
                  <wp:docPr id="73" name="图片 73" descr="C:\Users\ADMINI~1.USE\AppData\Local\Temp\16170877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1.USE\AppData\Local\Temp\1617087760(1).png"/>
                          <pic:cNvPicPr>
                            <a:picLocks noChangeAspect="1" noChangeArrowheads="1"/>
                          </pic:cNvPicPr>
                        </pic:nvPicPr>
                        <pic:blipFill>
                          <a:blip r:embed="rId14"/>
                          <a:srcRect/>
                          <a:stretch>
                            <a:fillRect/>
                          </a:stretch>
                        </pic:blipFill>
                        <pic:spPr>
                          <a:xfrm>
                            <a:off x="0" y="0"/>
                            <a:ext cx="1371600" cy="2066925"/>
                          </a:xfrm>
                          <a:prstGeom prst="rect">
                            <a:avLst/>
                          </a:prstGeom>
                          <a:noFill/>
                          <a:ln w="9525">
                            <a:noFill/>
                            <a:miter lim="800000"/>
                            <a:headEnd/>
                            <a:tailEnd/>
                          </a:ln>
                        </pic:spPr>
                      </pic:pic>
                    </a:graphicData>
                  </a:graphic>
                </wp:anchor>
              </w:drawing>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spacing w:beforeLines="30" w:afterLines="30" w:line="300" w:lineRule="exact"/>
              <w:ind w:firstLine="480" w:firstLineChars="200"/>
              <w:rPr>
                <w:rFonts w:hAnsiTheme="minorEastAsia"/>
                <w:lang w:eastAsia="zh-CN"/>
              </w:rPr>
            </w:pPr>
            <w:r>
              <w:rPr>
                <w:rFonts w:hint="eastAsia" w:hAnsiTheme="minorEastAsia"/>
                <w:lang w:eastAsia="zh-CN"/>
              </w:rPr>
              <w:t>巡查化学品存放区域，发现堆放有塑粉，有相关的MSDS及风险告知，物料摆放整齐，符合要求。</w:t>
            </w:r>
          </w:p>
          <w:p>
            <w:pPr>
              <w:autoSpaceDE w:val="0"/>
              <w:autoSpaceDN w:val="0"/>
              <w:adjustRightInd w:val="0"/>
              <w:spacing w:line="288" w:lineRule="auto"/>
              <w:ind w:left="41" w:leftChars="17" w:firstLine="480" w:firstLineChars="200"/>
              <w:rPr>
                <w:rFonts w:hAnsiTheme="minorEastAsia"/>
                <w:lang w:eastAsia="zh-CN"/>
              </w:rPr>
            </w:pPr>
            <w:r>
              <w:rPr>
                <w:rFonts w:hint="eastAsia" w:hAnsiTheme="minorEastAsia"/>
                <w:lang w:eastAsia="zh-CN"/>
              </w:rPr>
              <w:t>巡查危废仓库，堆放有废活性炭、废油桶、等使用桶装存放，贴有危废标识，现场有相关危废登记进出管理记录，包括日期、名称、数量等信息。查问皮膜工序池中的废渣处理情况及危废转移情况，企业回复，自去年开始受疫情影响，订单交易前减少，相关池中废渣较少未进行清理。暂未转移。</w:t>
            </w:r>
          </w:p>
          <w:p>
            <w:pPr>
              <w:autoSpaceDE w:val="0"/>
              <w:autoSpaceDN w:val="0"/>
              <w:adjustRightInd w:val="0"/>
              <w:spacing w:line="288" w:lineRule="auto"/>
              <w:ind w:left="41" w:leftChars="17" w:firstLine="480" w:firstLineChars="200"/>
              <w:rPr>
                <w:rFonts w:hAnsiTheme="minorEastAsia"/>
                <w:lang w:eastAsia="zh-CN"/>
              </w:rPr>
            </w:pPr>
            <w:r>
              <w:rPr>
                <w:rFonts w:hint="eastAsia" w:hAnsiTheme="minorEastAsia"/>
                <w:lang w:eastAsia="zh-CN"/>
              </w:rPr>
              <w:t>提供了危废处置合同，处理危废包括：废酸渣、废活性炭、废过滤芯、废空桶、废脱脂渣、废磷化渣，回收机构：江西东江环保技术有限公司，签订时间：2020年8月20日。见附件。</w:t>
            </w:r>
          </w:p>
          <w:p>
            <w:pPr>
              <w:spacing w:beforeLines="30" w:afterLines="30" w:line="300" w:lineRule="exact"/>
              <w:ind w:firstLine="480" w:firstLineChars="200"/>
              <w:rPr>
                <w:rFonts w:hAnsi="宋体"/>
                <w:lang w:eastAsia="zh-CN"/>
              </w:rPr>
            </w:pPr>
            <w:r>
              <w:rPr>
                <w:rFonts w:hAnsi="宋体"/>
                <w:lang w:eastAsia="zh-CN"/>
              </w:rPr>
              <w:t>使用手持电动工具时先检查有无电线裸露等安全隐患。</w:t>
            </w:r>
          </w:p>
          <w:p>
            <w:pPr>
              <w:spacing w:beforeLines="30" w:afterLines="30" w:line="300" w:lineRule="exact"/>
              <w:ind w:firstLine="480" w:firstLineChars="200"/>
              <w:rPr>
                <w:rFonts w:hAnsi="宋体"/>
                <w:lang w:eastAsia="zh-CN"/>
              </w:rPr>
            </w:pPr>
            <w:r>
              <w:rPr>
                <w:rFonts w:hAnsi="宋体"/>
                <w:lang w:eastAsia="zh-CN"/>
              </w:rPr>
              <w:t>配电室门口设有防鼠挡板，配有绝缘手套、绝缘鞋、高压验电笔、安全帽，门口配有灭火器。</w:t>
            </w:r>
          </w:p>
          <w:p>
            <w:pPr>
              <w:spacing w:beforeLines="30" w:afterLines="30" w:line="300" w:lineRule="exact"/>
              <w:ind w:firstLine="480" w:firstLineChars="200"/>
              <w:rPr>
                <w:rFonts w:hAnsi="宋体"/>
                <w:lang w:eastAsia="zh-CN"/>
              </w:rPr>
            </w:pPr>
            <w:r>
              <w:rPr>
                <w:rFonts w:hAnsi="宋体"/>
                <w:lang w:eastAsia="zh-CN"/>
              </w:rPr>
              <w:t>生产车间内现场电线布线合理，电线均处于完好状态，设备有接地及保护装置，控制柜及漏电保护器状态良好。</w:t>
            </w:r>
          </w:p>
          <w:p>
            <w:pPr>
              <w:spacing w:beforeLines="30" w:afterLines="30" w:line="300" w:lineRule="exact"/>
              <w:ind w:firstLine="480" w:firstLineChars="200"/>
              <w:rPr>
                <w:rFonts w:hAnsi="宋体"/>
                <w:lang w:eastAsia="zh-CN"/>
              </w:rPr>
            </w:pPr>
            <w:r>
              <w:rPr>
                <w:rFonts w:hAnsi="宋体"/>
                <w:lang w:eastAsia="zh-CN"/>
              </w:rPr>
              <w:t>车间现场在环保和职业健康安全防护方面的控制管理基本有效。</w:t>
            </w:r>
          </w:p>
        </w:tc>
        <w:tc>
          <w:tcPr>
            <w:tcW w:w="851"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954" w:type="dxa"/>
          </w:tcPr>
          <w:p>
            <w:r>
              <w:rPr>
                <w:rFonts w:hAnsi="宋体"/>
                <w:bCs/>
              </w:rPr>
              <w:t>应急准备和响应</w:t>
            </w:r>
          </w:p>
        </w:tc>
        <w:tc>
          <w:tcPr>
            <w:tcW w:w="1166" w:type="dxa"/>
          </w:tcPr>
          <w:p>
            <w:pPr>
              <w:rPr>
                <w:b/>
              </w:rPr>
            </w:pPr>
            <w:r>
              <w:rPr>
                <w:b/>
              </w:rPr>
              <w:t>EO8.2</w:t>
            </w:r>
          </w:p>
          <w:p/>
        </w:tc>
        <w:tc>
          <w:tcPr>
            <w:tcW w:w="10738" w:type="dxa"/>
          </w:tcPr>
          <w:p>
            <w:pPr>
              <w:spacing w:beforeLines="30" w:afterLines="30" w:line="320" w:lineRule="exact"/>
              <w:ind w:firstLine="480" w:firstLineChars="200"/>
              <w:rPr>
                <w:rFonts w:hAnsi="宋体"/>
                <w:lang w:eastAsia="zh-CN"/>
              </w:rPr>
            </w:pPr>
            <w:bookmarkStart w:id="0" w:name="_GoBack"/>
            <w:r>
              <w:rPr>
                <w:rFonts w:hint="eastAsia" w:hAnsi="宋体"/>
                <w:lang w:eastAsia="zh-CN"/>
              </w:rPr>
              <w:t>编制了《应急准备和响应程序》，建立了火灾、触电、机械伤害等应急预案，由生产部组织演练，提供了应急预案演习记录，</w:t>
            </w:r>
            <w:bookmarkEnd w:id="0"/>
          </w:p>
          <w:p>
            <w:pPr>
              <w:spacing w:beforeLines="30" w:afterLines="30" w:line="320" w:lineRule="exact"/>
              <w:ind w:firstLine="480" w:firstLineChars="200"/>
              <w:rPr>
                <w:rFonts w:hAnsi="宋体"/>
                <w:lang w:eastAsia="zh-CN"/>
              </w:rPr>
            </w:pPr>
            <w:r>
              <w:rPr>
                <w:rFonts w:hint="eastAsia" w:hAnsi="宋体"/>
                <w:lang w:eastAsia="zh-CN"/>
              </w:rPr>
              <w:t>查火灾应急演练记录，演练时间  2020年11月1日</w:t>
            </w:r>
          </w:p>
          <w:p>
            <w:pPr>
              <w:spacing w:beforeLines="30" w:afterLines="30" w:line="320" w:lineRule="exact"/>
              <w:ind w:firstLine="480" w:firstLineChars="200"/>
              <w:rPr>
                <w:rFonts w:hAnsi="宋体"/>
                <w:lang w:eastAsia="zh-CN"/>
              </w:rPr>
            </w:pPr>
            <w:r>
              <w:rPr>
                <w:rFonts w:hint="eastAsia" w:hAnsi="宋体"/>
                <w:lang w:eastAsia="zh-CN"/>
              </w:rPr>
              <w:t>负责人：万志辉</w:t>
            </w:r>
          </w:p>
          <w:p>
            <w:pPr>
              <w:spacing w:beforeLines="30" w:afterLines="30" w:line="320" w:lineRule="exact"/>
              <w:ind w:firstLine="480" w:firstLineChars="200"/>
              <w:rPr>
                <w:rFonts w:hAnsi="宋体"/>
                <w:lang w:eastAsia="zh-CN"/>
              </w:rPr>
            </w:pPr>
            <w:r>
              <w:rPr>
                <w:rFonts w:hint="eastAsia" w:hAnsi="宋体"/>
                <w:lang w:eastAsia="zh-CN"/>
              </w:rPr>
              <w:t>参加人：全体员工（生产部、办公室、销售部、采购部、品质部、财务部）</w:t>
            </w:r>
          </w:p>
          <w:p>
            <w:pPr>
              <w:spacing w:beforeLines="30" w:afterLines="30" w:line="320" w:lineRule="exact"/>
              <w:ind w:firstLine="480" w:firstLineChars="200"/>
              <w:rPr>
                <w:rFonts w:hAnsi="宋体"/>
                <w:lang w:eastAsia="zh-CN"/>
              </w:rPr>
            </w:pPr>
            <w:r>
              <w:rPr>
                <w:rFonts w:hint="eastAsia" w:hAnsi="宋体"/>
                <w:lang w:eastAsia="zh-CN"/>
              </w:rPr>
              <w:t>演练的效果</w:t>
            </w:r>
          </w:p>
          <w:p>
            <w:pPr>
              <w:spacing w:beforeLines="30" w:afterLines="30" w:line="320" w:lineRule="exact"/>
              <w:ind w:firstLine="480" w:firstLineChars="200"/>
              <w:rPr>
                <w:rFonts w:hAnsi="宋体"/>
                <w:lang w:eastAsia="zh-CN"/>
              </w:rPr>
            </w:pPr>
            <w:r>
              <w:rPr>
                <w:rFonts w:hint="eastAsia" w:hAnsi="宋体"/>
                <w:lang w:eastAsia="zh-CN"/>
              </w:rPr>
              <w:t>1、组织指挥有序，项目岗位配合较好，达到了预定目标，演练的效果较好。</w:t>
            </w:r>
          </w:p>
          <w:p>
            <w:pPr>
              <w:spacing w:beforeLines="30" w:afterLines="30" w:line="320" w:lineRule="exact"/>
              <w:ind w:firstLine="480" w:firstLineChars="200"/>
              <w:rPr>
                <w:rFonts w:hAnsi="宋体"/>
                <w:lang w:eastAsia="zh-CN"/>
              </w:rPr>
            </w:pPr>
            <w:r>
              <w:rPr>
                <w:rFonts w:hint="eastAsia" w:hAnsi="宋体"/>
                <w:lang w:eastAsia="zh-CN"/>
              </w:rPr>
              <w:t>2、人员的速度较快，及时按照预定方案对事故处理人员进行保护。</w:t>
            </w:r>
          </w:p>
          <w:p>
            <w:pPr>
              <w:spacing w:beforeLines="30" w:afterLines="30" w:line="320" w:lineRule="exact"/>
              <w:ind w:firstLine="480" w:firstLineChars="200"/>
              <w:rPr>
                <w:rFonts w:hAnsi="宋体"/>
                <w:lang w:eastAsia="zh-CN"/>
              </w:rPr>
            </w:pPr>
            <w:r>
              <w:rPr>
                <w:rFonts w:hint="eastAsia" w:hAnsi="宋体"/>
                <w:lang w:eastAsia="zh-CN"/>
              </w:rPr>
              <w:t>3、各参训人员着装整齐，装备佩戴完整，精神饱满。</w:t>
            </w:r>
          </w:p>
          <w:p>
            <w:pPr>
              <w:spacing w:beforeLines="30" w:afterLines="30" w:line="320" w:lineRule="exact"/>
              <w:ind w:firstLine="480" w:firstLineChars="200"/>
              <w:rPr>
                <w:rFonts w:hAnsi="宋体"/>
                <w:lang w:eastAsia="zh-CN"/>
              </w:rPr>
            </w:pPr>
            <w:r>
              <w:rPr>
                <w:rFonts w:hint="eastAsia" w:hAnsi="宋体"/>
                <w:lang w:eastAsia="zh-CN"/>
              </w:rPr>
              <w:t>4、处理事故得当，速度较快，分工明确，能各负其责</w:t>
            </w:r>
          </w:p>
          <w:p>
            <w:pPr>
              <w:spacing w:beforeLines="30" w:afterLines="30" w:line="320" w:lineRule="exact"/>
              <w:ind w:firstLine="480" w:firstLineChars="200"/>
              <w:rPr>
                <w:rFonts w:hAnsi="宋体"/>
                <w:lang w:eastAsia="zh-CN"/>
              </w:rPr>
            </w:pPr>
            <w:r>
              <w:rPr>
                <w:rFonts w:hint="eastAsia" w:hAnsi="宋体"/>
                <w:lang w:eastAsia="zh-CN"/>
              </w:rPr>
              <w:t>演练达到了目的。有效。</w:t>
            </w:r>
          </w:p>
          <w:p>
            <w:pPr>
              <w:spacing w:beforeLines="30" w:afterLines="30" w:line="320" w:lineRule="exact"/>
              <w:ind w:firstLine="480" w:firstLineChars="200"/>
              <w:rPr>
                <w:lang w:eastAsia="zh-CN"/>
              </w:rPr>
            </w:pPr>
            <w:r>
              <w:rPr>
                <w:rFonts w:hint="eastAsia" w:hAnsi="宋体"/>
                <w:lang w:eastAsia="zh-CN"/>
              </w:rPr>
              <w:t>再查2020年11月2日触电应急演练记录，情况基本同上。</w:t>
            </w:r>
          </w:p>
          <w:p>
            <w:pPr>
              <w:spacing w:beforeLines="30" w:afterLines="30" w:line="320" w:lineRule="exact"/>
              <w:ind w:firstLine="480" w:firstLineChars="200"/>
              <w:rPr>
                <w:lang w:eastAsia="zh-CN"/>
              </w:rPr>
            </w:pPr>
            <w:r>
              <w:rPr>
                <w:rFonts w:hAnsiTheme="minorEastAsia"/>
                <w:lang w:eastAsia="zh-CN"/>
              </w:rPr>
              <w:t>自体系运行以来尚未发生紧急情况。</w:t>
            </w:r>
          </w:p>
        </w:tc>
        <w:tc>
          <w:tcPr>
            <w:tcW w:w="851"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954" w:type="dxa"/>
            <w:vAlign w:val="center"/>
          </w:tcPr>
          <w:p>
            <w:pPr>
              <w:spacing w:line="360" w:lineRule="auto"/>
              <w:jc w:val="center"/>
              <w:rPr>
                <w:lang w:eastAsia="zh-CN"/>
              </w:rPr>
            </w:pPr>
            <w:r>
              <w:rPr>
                <w:rFonts w:hAnsiTheme="minorEastAsia"/>
                <w:lang w:eastAsia="zh-CN"/>
              </w:rPr>
              <w:t>合规义务、法律</w:t>
            </w:r>
            <w:r>
              <w:rPr>
                <w:lang w:eastAsia="zh-CN"/>
              </w:rPr>
              <w:t>法规</w:t>
            </w:r>
            <w:r>
              <w:rPr>
                <w:rFonts w:hAnsiTheme="minorEastAsia"/>
                <w:lang w:eastAsia="zh-CN"/>
              </w:rPr>
              <w:t>和其他要求</w:t>
            </w:r>
          </w:p>
        </w:tc>
        <w:tc>
          <w:tcPr>
            <w:tcW w:w="1166" w:type="dxa"/>
            <w:vAlign w:val="center"/>
          </w:tcPr>
          <w:p>
            <w:pPr>
              <w:spacing w:line="360" w:lineRule="auto"/>
            </w:pPr>
            <w:r>
              <w:t>E6.1.3</w:t>
            </w:r>
          </w:p>
          <w:p>
            <w:pPr>
              <w:spacing w:line="360" w:lineRule="auto"/>
            </w:pPr>
            <w:r>
              <w:t>O6.1.3</w:t>
            </w:r>
          </w:p>
        </w:tc>
        <w:tc>
          <w:tcPr>
            <w:tcW w:w="10738" w:type="dxa"/>
            <w:vAlign w:val="center"/>
          </w:tcPr>
          <w:p>
            <w:pPr>
              <w:spacing w:beforeLines="50" w:afterLines="50" w:line="320" w:lineRule="exact"/>
              <w:ind w:firstLine="480" w:firstLineChars="200"/>
              <w:rPr>
                <w:rFonts w:hAnsi="宋体"/>
                <w:lang w:eastAsia="zh-CN"/>
              </w:rPr>
            </w:pPr>
            <w:r>
              <w:rPr>
                <w:rFonts w:hAnsi="宋体"/>
                <w:lang w:eastAsia="zh-CN"/>
              </w:rPr>
              <w:t>编制了《环境和职业健康安全法律法规控制程序》，对法律法规的识别更新和应用进行规定，行政部为主控部门。</w:t>
            </w:r>
          </w:p>
          <w:p>
            <w:pPr>
              <w:spacing w:beforeLines="50" w:afterLines="50" w:line="320" w:lineRule="exact"/>
              <w:ind w:firstLine="480" w:firstLineChars="200"/>
              <w:rPr>
                <w:rFonts w:hAnsi="宋体"/>
                <w:lang w:eastAsia="zh-CN"/>
              </w:rPr>
            </w:pPr>
            <w:r>
              <w:rPr>
                <w:rFonts w:hAnsi="宋体"/>
                <w:lang w:eastAsia="zh-CN"/>
              </w:rPr>
              <w:t>部门人员介绍：主要通过网络、报纸杂志电视等新闻媒体、购买、上级下发等多种形式收集本公司适用的法律法规。提供了《环境法律法规及其他要求清单》、《职业健康安全法律法规及其他要求清单》，识别了企业相关环境和职业健康安全法律法规、标准和其他要求。如《中华人民共和国环境保护法》、《中华人民共和国安全生产法》、《中华人民共和国环境噪声污染防治法》、《中华人民共和国职业病防治法》、《中华人民共和国消防法》、《江西省环境污染防治条例》、《江西省安全生产条例》、《工伤保险条例》《中华人民共和国劳动合同法》《中华人民共和国突发事件应对法》《江西省生产安全事故报告和调查处理规定》等。</w:t>
            </w:r>
          </w:p>
          <w:p>
            <w:pPr>
              <w:spacing w:beforeLines="50" w:afterLines="50" w:line="320" w:lineRule="exact"/>
              <w:ind w:firstLine="480" w:firstLineChars="200"/>
              <w:rPr>
                <w:rFonts w:hAnsi="宋体"/>
                <w:lang w:eastAsia="zh-CN"/>
              </w:rPr>
            </w:pPr>
            <w:r>
              <w:rPr>
                <w:rFonts w:hAnsi="宋体"/>
                <w:lang w:eastAsia="zh-CN"/>
              </w:rPr>
              <w:t>已识别法律法规及其它要求的适用条款，并与环境因素、危险源相对应。</w:t>
            </w:r>
          </w:p>
          <w:p>
            <w:pPr>
              <w:spacing w:beforeLines="50" w:afterLines="50" w:line="320" w:lineRule="exact"/>
              <w:ind w:firstLine="480" w:firstLineChars="200"/>
              <w:rPr>
                <w:lang w:eastAsia="zh-CN"/>
              </w:rPr>
            </w:pPr>
            <w:r>
              <w:rPr>
                <w:rFonts w:hAnsi="宋体"/>
                <w:lang w:eastAsia="zh-CN"/>
              </w:rPr>
              <w:t>公司法律、法规及其它要求都有现行文本，大部分为电子版本。各部门如有需要到行政部查阅。公司通过培训、会议等方式向有关员工传达法律、法规及其它要求的相关要求。</w:t>
            </w:r>
          </w:p>
        </w:tc>
        <w:tc>
          <w:tcPr>
            <w:tcW w:w="851"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954" w:type="dxa"/>
            <w:vAlign w:val="center"/>
          </w:tcPr>
          <w:p>
            <w:pPr>
              <w:spacing w:line="360" w:lineRule="auto"/>
            </w:pPr>
            <w:r>
              <w:rPr>
                <w:rFonts w:hAnsiTheme="minorEastAsia"/>
              </w:rPr>
              <w:t>合规性评价</w:t>
            </w:r>
          </w:p>
        </w:tc>
        <w:tc>
          <w:tcPr>
            <w:tcW w:w="1166" w:type="dxa"/>
            <w:vAlign w:val="center"/>
          </w:tcPr>
          <w:p>
            <w:pPr>
              <w:spacing w:line="360" w:lineRule="auto"/>
            </w:pPr>
            <w:r>
              <w:t>E9.1.2</w:t>
            </w:r>
          </w:p>
          <w:p>
            <w:pPr>
              <w:spacing w:line="360" w:lineRule="auto"/>
              <w:rPr>
                <w:bCs/>
              </w:rPr>
            </w:pPr>
            <w:r>
              <w:t>O9.1.2</w:t>
            </w:r>
          </w:p>
        </w:tc>
        <w:tc>
          <w:tcPr>
            <w:tcW w:w="10738" w:type="dxa"/>
            <w:vAlign w:val="center"/>
          </w:tcPr>
          <w:p>
            <w:pPr>
              <w:snapToGrid w:val="0"/>
              <w:spacing w:line="360" w:lineRule="auto"/>
              <w:ind w:right="392" w:firstLine="480" w:firstLineChars="200"/>
              <w:rPr>
                <w:lang w:eastAsia="zh-CN"/>
              </w:rPr>
            </w:pPr>
            <w:r>
              <w:rPr>
                <w:rFonts w:hAnsiTheme="minorEastAsia"/>
                <w:lang w:eastAsia="zh-CN"/>
              </w:rPr>
              <w:t>编制了《合规性评价控制程序》，其中规定了对本公司法规及其他要求的合规性评价的要求。</w:t>
            </w:r>
          </w:p>
          <w:p>
            <w:pPr>
              <w:snapToGrid w:val="0"/>
              <w:spacing w:line="360" w:lineRule="auto"/>
              <w:ind w:right="392" w:firstLine="480" w:firstLineChars="200"/>
              <w:rPr>
                <w:lang w:eastAsia="zh-CN"/>
              </w:rPr>
            </w:pPr>
            <w:r>
              <w:rPr>
                <w:rFonts w:hAnsiTheme="minorEastAsia"/>
                <w:lang w:eastAsia="zh-CN"/>
              </w:rPr>
              <w:t>提供了《合规性评价报告》、《合规性评价综述》</w:t>
            </w:r>
            <w:r>
              <w:rPr>
                <w:lang w:eastAsia="zh-CN"/>
              </w:rPr>
              <w:t>,</w:t>
            </w:r>
            <w:r>
              <w:rPr>
                <w:rFonts w:hAnsiTheme="minorEastAsia"/>
                <w:lang w:eastAsia="zh-CN"/>
              </w:rPr>
              <w:t>对公司适用的法律法规及其他要求的遵守情况进行了评价，评价结论：从本次检查的结果来看，我公司没有违反国家法律、法规及相关标准，能严格遵守国家有关环境和职业健康安全管理方面的相关规定，密切关注法律法规的变化，并适时调整，严格按体系标准执行。</w:t>
            </w:r>
          </w:p>
          <w:p>
            <w:pPr>
              <w:snapToGrid w:val="0"/>
              <w:spacing w:line="360" w:lineRule="auto"/>
              <w:ind w:right="392" w:firstLine="480" w:firstLineChars="200"/>
              <w:rPr>
                <w:lang w:eastAsia="zh-CN"/>
              </w:rPr>
            </w:pPr>
            <w:r>
              <w:rPr>
                <w:rFonts w:hAnsiTheme="minorEastAsia"/>
                <w:lang w:eastAsia="zh-CN"/>
              </w:rPr>
              <w:t>评价人：</w:t>
            </w:r>
            <w:r>
              <w:rPr>
                <w:rFonts w:hint="eastAsia" w:hAnsiTheme="minorEastAsia"/>
                <w:lang w:eastAsia="zh-CN"/>
              </w:rPr>
              <w:t>傅志远、万志辉、胡庆春、聂云清等</w:t>
            </w:r>
          </w:p>
          <w:p>
            <w:pPr>
              <w:snapToGrid w:val="0"/>
              <w:spacing w:line="360" w:lineRule="auto"/>
              <w:ind w:right="392" w:firstLine="480" w:firstLineChars="200"/>
              <w:rPr>
                <w:rFonts w:hAnsiTheme="minorEastAsia"/>
                <w:lang w:eastAsia="zh-CN"/>
              </w:rPr>
            </w:pPr>
            <w:r>
              <w:rPr>
                <w:rFonts w:hAnsiTheme="minorEastAsia"/>
                <w:lang w:eastAsia="zh-CN"/>
              </w:rPr>
              <w:t>评价日期：</w:t>
            </w:r>
            <w:r>
              <w:rPr>
                <w:rFonts w:hint="eastAsia" w:hAnsiTheme="minorEastAsia"/>
                <w:lang w:eastAsia="zh-CN"/>
              </w:rPr>
              <w:t>2021年2月26日</w:t>
            </w:r>
            <w:r>
              <w:rPr>
                <w:rFonts w:hAnsiTheme="minorEastAsia"/>
                <w:lang w:eastAsia="zh-CN"/>
              </w:rPr>
              <w:t>。</w:t>
            </w:r>
          </w:p>
          <w:p>
            <w:pPr>
              <w:spacing w:line="360" w:lineRule="auto"/>
              <w:ind w:firstLine="480" w:firstLineChars="200"/>
              <w:rPr>
                <w:lang w:eastAsia="zh-CN"/>
              </w:rPr>
            </w:pPr>
            <w:r>
              <w:rPr>
                <w:rFonts w:hAnsiTheme="minorEastAsia"/>
                <w:lang w:eastAsia="zh-CN"/>
              </w:rPr>
              <w:t>部门已对有关法规及其他要求进行识别、评价，满足要求。</w:t>
            </w:r>
          </w:p>
        </w:tc>
        <w:tc>
          <w:tcPr>
            <w:tcW w:w="851" w:type="dxa"/>
          </w:tcPr>
          <w:p>
            <w:r>
              <w:t>符合</w:t>
            </w:r>
          </w:p>
        </w:tc>
      </w:tr>
    </w:tbl>
    <w:p>
      <w:pPr>
        <w:spacing w:line="480" w:lineRule="exact"/>
        <w:ind w:firstLine="6120" w:firstLineChars="1700"/>
        <w:rPr>
          <w:bCs/>
          <w:color w:val="000000"/>
          <w:sz w:val="36"/>
          <w:szCs w:val="36"/>
        </w:rPr>
      </w:pPr>
      <w:r>
        <w:rPr>
          <w:rFonts w:hAnsi="宋体"/>
          <w:bCs/>
          <w:color w:val="000000"/>
          <w:sz w:val="36"/>
          <w:szCs w:val="36"/>
        </w:rPr>
        <w:t>管理体系审核记录表</w:t>
      </w:r>
    </w:p>
    <w:tbl>
      <w:tblPr>
        <w:tblStyle w:val="2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027"/>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93" w:type="dxa"/>
            <w:vMerge w:val="restart"/>
            <w:vAlign w:val="center"/>
          </w:tcPr>
          <w:p>
            <w:pPr>
              <w:spacing w:before="120"/>
              <w:jc w:val="center"/>
              <w:rPr>
                <w:lang w:eastAsia="zh-CN"/>
              </w:rPr>
            </w:pPr>
            <w:r>
              <w:rPr>
                <w:rFonts w:hAnsi="宋体"/>
                <w:lang w:eastAsia="zh-CN"/>
              </w:rPr>
              <w:t>过程与活动、</w:t>
            </w:r>
          </w:p>
          <w:p>
            <w:pPr>
              <w:jc w:val="center"/>
              <w:rPr>
                <w:lang w:eastAsia="zh-CN"/>
              </w:rPr>
            </w:pPr>
            <w:r>
              <w:rPr>
                <w:rFonts w:hAnsi="宋体"/>
                <w:lang w:eastAsia="zh-CN"/>
              </w:rPr>
              <w:t>抽样计划</w:t>
            </w:r>
          </w:p>
        </w:tc>
        <w:tc>
          <w:tcPr>
            <w:tcW w:w="1027" w:type="dxa"/>
            <w:vMerge w:val="restart"/>
            <w:vAlign w:val="center"/>
          </w:tcPr>
          <w:p>
            <w:r>
              <w:rPr>
                <w:rFonts w:hAnsi="宋体"/>
              </w:rPr>
              <w:t>涉及</w:t>
            </w:r>
          </w:p>
          <w:p>
            <w:r>
              <w:rPr>
                <w:rFonts w:hAnsi="宋体"/>
              </w:rPr>
              <w:t>条款</w:t>
            </w:r>
          </w:p>
        </w:tc>
        <w:tc>
          <w:tcPr>
            <w:tcW w:w="10004" w:type="dxa"/>
            <w:vAlign w:val="center"/>
          </w:tcPr>
          <w:p>
            <w:pPr>
              <w:rPr>
                <w:lang w:eastAsia="zh-CN"/>
              </w:rPr>
            </w:pPr>
            <w:r>
              <w:rPr>
                <w:rFonts w:hAnsi="宋体"/>
                <w:lang w:eastAsia="zh-CN"/>
              </w:rPr>
              <w:t>受审核部门：品质部</w:t>
            </w:r>
            <w:r>
              <w:rPr>
                <w:rFonts w:hint="eastAsia" w:hAnsi="宋体"/>
                <w:lang w:eastAsia="zh-CN"/>
              </w:rPr>
              <w:t xml:space="preserve">      </w:t>
            </w:r>
            <w:r>
              <w:rPr>
                <w:rFonts w:hAnsi="宋体"/>
                <w:lang w:eastAsia="zh-CN"/>
              </w:rPr>
              <w:t>主管领导：黄涛</w:t>
            </w:r>
            <w:r>
              <w:rPr>
                <w:rFonts w:hint="eastAsia" w:hAnsi="宋体"/>
                <w:lang w:eastAsia="zh-CN"/>
              </w:rPr>
              <w:t xml:space="preserve">      </w:t>
            </w:r>
            <w:r>
              <w:rPr>
                <w:rFonts w:hAnsi="宋体"/>
                <w:lang w:eastAsia="zh-CN"/>
              </w:rPr>
              <w:t>陪同人员：</w:t>
            </w:r>
            <w:r>
              <w:rPr>
                <w:rFonts w:hint="eastAsia" w:ascii="宋体" w:hAnsi="宋体"/>
                <w:lang w:eastAsia="zh-CN"/>
              </w:rPr>
              <w:t>傅志远</w:t>
            </w:r>
          </w:p>
        </w:tc>
        <w:tc>
          <w:tcPr>
            <w:tcW w:w="1585" w:type="dxa"/>
            <w:vMerge w:val="restart"/>
            <w:vAlign w:val="center"/>
          </w:tcPr>
          <w:p>
            <w:r>
              <w:rPr>
                <w:rFonts w:hAnsi="宋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93" w:type="dxa"/>
            <w:vMerge w:val="continue"/>
            <w:vAlign w:val="center"/>
          </w:tcPr>
          <w:p/>
        </w:tc>
        <w:tc>
          <w:tcPr>
            <w:tcW w:w="1027" w:type="dxa"/>
            <w:vMerge w:val="continue"/>
            <w:vAlign w:val="center"/>
          </w:tcPr>
          <w:p/>
        </w:tc>
        <w:tc>
          <w:tcPr>
            <w:tcW w:w="10004" w:type="dxa"/>
            <w:vAlign w:val="center"/>
          </w:tcPr>
          <w:p>
            <w:pPr>
              <w:spacing w:before="120"/>
              <w:rPr>
                <w:lang w:eastAsia="zh-CN"/>
              </w:rPr>
            </w:pPr>
            <w:r>
              <w:rPr>
                <w:rFonts w:hAnsi="宋体"/>
                <w:lang w:eastAsia="zh-CN"/>
              </w:rPr>
              <w:t>审核员：文波</w:t>
            </w:r>
            <w:r>
              <w:rPr>
                <w:rFonts w:hint="eastAsia" w:hAnsi="宋体"/>
                <w:lang w:eastAsia="zh-CN"/>
              </w:rPr>
              <w:t xml:space="preserve">       </w:t>
            </w:r>
            <w:r>
              <w:rPr>
                <w:rFonts w:hAnsi="宋体"/>
                <w:lang w:eastAsia="zh-CN"/>
              </w:rPr>
              <w:t>审核时间：</w:t>
            </w:r>
            <w:r>
              <w:rPr>
                <w:lang w:eastAsia="zh-CN"/>
              </w:rPr>
              <w:t>202</w:t>
            </w:r>
            <w:r>
              <w:rPr>
                <w:rFonts w:hint="eastAsia"/>
                <w:lang w:eastAsia="zh-CN"/>
              </w:rPr>
              <w:t>1</w:t>
            </w:r>
            <w:r>
              <w:rPr>
                <w:lang w:eastAsia="zh-CN"/>
              </w:rPr>
              <w:t>.</w:t>
            </w:r>
            <w:r>
              <w:rPr>
                <w:rFonts w:hint="eastAsia"/>
                <w:lang w:eastAsia="zh-CN"/>
              </w:rPr>
              <w:t>3</w:t>
            </w:r>
            <w:r>
              <w:rPr>
                <w:lang w:eastAsia="zh-CN"/>
              </w:rPr>
              <w:t>.</w:t>
            </w:r>
            <w:r>
              <w:rPr>
                <w:rFonts w:hint="eastAsia"/>
                <w:lang w:eastAsia="zh-CN"/>
              </w:rPr>
              <w:t>30</w:t>
            </w:r>
          </w:p>
        </w:tc>
        <w:tc>
          <w:tcPr>
            <w:tcW w:w="1585" w:type="dxa"/>
            <w:vMerge w:val="continue"/>
          </w:tcPr>
          <w:p>
            <w:pP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93" w:type="dxa"/>
            <w:vMerge w:val="continue"/>
            <w:vAlign w:val="center"/>
          </w:tcPr>
          <w:p>
            <w:pPr>
              <w:rPr>
                <w:lang w:eastAsia="zh-CN"/>
              </w:rPr>
            </w:pPr>
          </w:p>
        </w:tc>
        <w:tc>
          <w:tcPr>
            <w:tcW w:w="1027" w:type="dxa"/>
            <w:vMerge w:val="continue"/>
            <w:vAlign w:val="center"/>
          </w:tcPr>
          <w:p>
            <w:pPr>
              <w:rPr>
                <w:lang w:eastAsia="zh-CN"/>
              </w:rPr>
            </w:pPr>
          </w:p>
        </w:tc>
        <w:tc>
          <w:tcPr>
            <w:tcW w:w="10004" w:type="dxa"/>
            <w:vAlign w:val="center"/>
          </w:tcPr>
          <w:p>
            <w:pPr>
              <w:adjustRightInd w:val="0"/>
              <w:snapToGrid w:val="0"/>
              <w:spacing w:beforeLines="30" w:afterLines="30" w:line="300" w:lineRule="exact"/>
              <w:ind w:right="120" w:rightChars="50"/>
              <w:textAlignment w:val="baseline"/>
              <w:rPr>
                <w:szCs w:val="21"/>
                <w:lang w:eastAsia="zh-CN"/>
              </w:rPr>
            </w:pPr>
            <w:r>
              <w:rPr>
                <w:rFonts w:hAnsi="宋体"/>
                <w:lang w:eastAsia="zh-CN"/>
              </w:rPr>
              <w:t>审核条款：</w:t>
            </w:r>
            <w:r>
              <w:rPr>
                <w:rFonts w:hint="eastAsia"/>
                <w:szCs w:val="21"/>
                <w:lang w:eastAsia="zh-CN"/>
              </w:rPr>
              <w:t>Q:5.3组织的岗位、职责和权限、6.2质量目标、7.1.5监视和测量资源、8.6产品和服务的放行、8.7不合格品控制、10.2不合格和纠正措施</w:t>
            </w:r>
          </w:p>
          <w:p>
            <w:pPr>
              <w:pStyle w:val="38"/>
              <w:spacing w:beforeLines="30" w:afterLines="30" w:line="300" w:lineRule="exact"/>
              <w:rPr>
                <w:lang w:eastAsia="zh-CN"/>
              </w:rPr>
            </w:pPr>
            <w:r>
              <w:rPr>
                <w:rFonts w:hint="eastAsia"/>
                <w:szCs w:val="21"/>
                <w:lang w:eastAsia="zh-CN"/>
              </w:rPr>
              <w:t>E/O:5.3组织的岗位、职责和权限、6.2环境/职业健康安全目标、6.1.2环境因素/危险源的识别与评价、6.1.4措施的策划、8.1运行策划和控制、8.2应急准备和响应、10.2不符合、事件和纠正措施</w:t>
            </w:r>
          </w:p>
        </w:tc>
        <w:tc>
          <w:tcPr>
            <w:tcW w:w="1585" w:type="dxa"/>
            <w:vMerge w:val="continue"/>
          </w:tcPr>
          <w:p>
            <w:pP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93" w:type="dxa"/>
          </w:tcPr>
          <w:p>
            <w:pPr>
              <w:rPr>
                <w:lang w:eastAsia="zh-CN"/>
              </w:rPr>
            </w:pPr>
            <w:r>
              <w:rPr>
                <w:rFonts w:hAnsi="宋体"/>
                <w:lang w:eastAsia="zh-CN"/>
              </w:rPr>
              <w:t>组织的岗位、职责和权限</w:t>
            </w:r>
          </w:p>
        </w:tc>
        <w:tc>
          <w:tcPr>
            <w:tcW w:w="1027" w:type="dxa"/>
          </w:tcPr>
          <w:p>
            <w:r>
              <w:t>QEO5.3</w:t>
            </w:r>
          </w:p>
          <w:p/>
        </w:tc>
        <w:tc>
          <w:tcPr>
            <w:tcW w:w="10004" w:type="dxa"/>
          </w:tcPr>
          <w:p>
            <w:pPr>
              <w:spacing w:beforeLines="50" w:afterLines="50" w:line="320" w:lineRule="exact"/>
              <w:ind w:firstLine="480" w:firstLineChars="200"/>
              <w:rPr>
                <w:rFonts w:hAnsi="宋体"/>
                <w:lang w:eastAsia="zh-CN"/>
              </w:rPr>
            </w:pPr>
            <w:r>
              <w:rPr>
                <w:rFonts w:hAnsi="宋体"/>
                <w:lang w:eastAsia="zh-CN"/>
              </w:rPr>
              <w:t>现场询问品质部负责人，本部门体系职责：产品检验，不合格品管理、识别辨识本部门的环境因素、危险源以及本部门的运行控制等。</w:t>
            </w:r>
          </w:p>
        </w:tc>
        <w:tc>
          <w:tcPr>
            <w:tcW w:w="1585"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93" w:type="dxa"/>
          </w:tcPr>
          <w:p>
            <w:r>
              <w:rPr>
                <w:rFonts w:hAnsi="宋体"/>
              </w:rPr>
              <w:t>目标及其实现的策划</w:t>
            </w:r>
          </w:p>
        </w:tc>
        <w:tc>
          <w:tcPr>
            <w:tcW w:w="1027" w:type="dxa"/>
          </w:tcPr>
          <w:p>
            <w:pPr>
              <w:pStyle w:val="40"/>
              <w:jc w:val="both"/>
              <w:rPr>
                <w:rFonts w:ascii="Times New Roman" w:cs="Times New Roman"/>
                <w:color w:val="auto"/>
                <w:kern w:val="2"/>
              </w:rPr>
            </w:pPr>
            <w:r>
              <w:rPr>
                <w:rFonts w:ascii="Times New Roman" w:cs="Times New Roman"/>
                <w:color w:val="auto"/>
                <w:kern w:val="2"/>
              </w:rPr>
              <w:t>QEO6.2</w:t>
            </w:r>
          </w:p>
          <w:p/>
        </w:tc>
        <w:tc>
          <w:tcPr>
            <w:tcW w:w="10004" w:type="dxa"/>
          </w:tcPr>
          <w:p>
            <w:pPr>
              <w:spacing w:beforeLines="50" w:afterLines="50" w:line="320" w:lineRule="exact"/>
              <w:ind w:firstLine="480" w:firstLineChars="200"/>
              <w:rPr>
                <w:rFonts w:hAnsi="宋体"/>
                <w:lang w:eastAsia="zh-CN"/>
              </w:rPr>
            </w:pPr>
            <w:r>
              <w:rPr>
                <w:rFonts w:hAnsi="宋体"/>
                <w:lang w:eastAsia="zh-CN"/>
              </w:rPr>
              <w:t xml:space="preserve">部门目标：  </w:t>
            </w:r>
            <w:r>
              <w:rPr>
                <w:rFonts w:hint="eastAsia" w:hAnsi="宋体"/>
                <w:lang w:eastAsia="zh-CN"/>
              </w:rPr>
              <w:t xml:space="preserve">                                            2020.12.1考核情况</w:t>
            </w:r>
          </w:p>
          <w:p>
            <w:pPr>
              <w:spacing w:beforeLines="50" w:afterLines="50" w:line="320" w:lineRule="exact"/>
              <w:ind w:firstLine="480" w:firstLineChars="200"/>
              <w:rPr>
                <w:rFonts w:hAnsi="宋体"/>
                <w:lang w:eastAsia="zh-CN"/>
              </w:rPr>
            </w:pPr>
            <w:r>
              <w:rPr>
                <w:rFonts w:hint="eastAsia" w:hAnsi="宋体"/>
                <w:lang w:eastAsia="zh-CN"/>
              </w:rPr>
              <w:t>1.计量器具校准率100%                                         100%</w:t>
            </w:r>
          </w:p>
          <w:p>
            <w:pPr>
              <w:spacing w:beforeLines="50" w:afterLines="50" w:line="320" w:lineRule="exact"/>
              <w:ind w:firstLine="480" w:firstLineChars="200"/>
              <w:rPr>
                <w:rFonts w:hAnsi="宋体"/>
                <w:lang w:eastAsia="zh-CN"/>
              </w:rPr>
            </w:pPr>
            <w:r>
              <w:rPr>
                <w:rFonts w:hint="eastAsia" w:hAnsi="宋体"/>
                <w:lang w:eastAsia="zh-CN"/>
              </w:rPr>
              <w:t>3.产品出厂合格率100%                                          100%</w:t>
            </w:r>
          </w:p>
          <w:p>
            <w:pPr>
              <w:spacing w:beforeLines="50" w:afterLines="50" w:line="320" w:lineRule="exact"/>
              <w:ind w:firstLine="480" w:firstLineChars="200"/>
              <w:rPr>
                <w:rFonts w:hAnsi="宋体"/>
                <w:lang w:eastAsia="zh-CN"/>
              </w:rPr>
            </w:pPr>
            <w:r>
              <w:rPr>
                <w:rFonts w:hint="eastAsia" w:hAnsi="宋体"/>
                <w:lang w:eastAsia="zh-CN"/>
              </w:rPr>
              <w:t>4.火灾、爆炸事故为0；                                          0次</w:t>
            </w:r>
          </w:p>
          <w:p>
            <w:pPr>
              <w:spacing w:beforeLines="50" w:afterLines="50" w:line="320" w:lineRule="exact"/>
              <w:ind w:firstLine="480" w:firstLineChars="200"/>
              <w:rPr>
                <w:rFonts w:hAnsi="宋体"/>
                <w:lang w:eastAsia="zh-CN"/>
              </w:rPr>
            </w:pPr>
            <w:r>
              <w:rPr>
                <w:rFonts w:hint="eastAsia" w:hAnsi="宋体"/>
                <w:lang w:eastAsia="zh-CN"/>
              </w:rPr>
              <w:t>5.固废分类处置率100%；</w:t>
            </w:r>
            <w:r>
              <w:rPr>
                <w:rFonts w:hAnsi="宋体"/>
                <w:lang w:eastAsia="zh-CN"/>
              </w:rPr>
              <w:t xml:space="preserve"> </w:t>
            </w:r>
            <w:r>
              <w:rPr>
                <w:rFonts w:hint="eastAsia" w:hAnsi="宋体"/>
                <w:lang w:eastAsia="zh-CN"/>
              </w:rPr>
              <w:t xml:space="preserve">                                        100%</w:t>
            </w:r>
          </w:p>
          <w:p>
            <w:pPr>
              <w:spacing w:beforeLines="50" w:afterLines="50" w:line="320" w:lineRule="exact"/>
              <w:ind w:firstLine="480" w:firstLineChars="200"/>
              <w:rPr>
                <w:rFonts w:hAnsi="宋体"/>
                <w:lang w:eastAsia="zh-CN"/>
              </w:rPr>
            </w:pPr>
            <w:r>
              <w:rPr>
                <w:rFonts w:hint="eastAsia" w:hAnsi="宋体"/>
                <w:lang w:eastAsia="zh-CN"/>
              </w:rPr>
              <w:t>6.员工重大伤亡事故为零</w:t>
            </w:r>
          </w:p>
          <w:p>
            <w:pPr>
              <w:pStyle w:val="2"/>
              <w:spacing w:beforeLines="50" w:afterLines="50" w:line="320" w:lineRule="exact"/>
              <w:ind w:right="180"/>
              <w:rPr>
                <w:rFonts w:hAnsi="宋体"/>
                <w:lang w:eastAsia="zh-CN"/>
              </w:rPr>
            </w:pPr>
            <w:r>
              <w:rPr>
                <w:rFonts w:hAnsi="宋体"/>
                <w:lang w:eastAsia="zh-CN"/>
              </w:rPr>
              <w:t>经查</w:t>
            </w:r>
            <w:r>
              <w:rPr>
                <w:rFonts w:hint="eastAsia" w:hAnsi="宋体"/>
                <w:lang w:eastAsia="zh-CN"/>
              </w:rPr>
              <w:t>2020年12月1日</w:t>
            </w:r>
            <w:r>
              <w:rPr>
                <w:rFonts w:hAnsi="宋体"/>
                <w:lang w:eastAsia="zh-CN"/>
              </w:rPr>
              <w:t>各目标达成。</w:t>
            </w:r>
          </w:p>
        </w:tc>
        <w:tc>
          <w:tcPr>
            <w:tcW w:w="1585"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93" w:type="dxa"/>
            <w:vAlign w:val="center"/>
          </w:tcPr>
          <w:p>
            <w:pPr>
              <w:spacing w:line="360" w:lineRule="auto"/>
              <w:jc w:val="center"/>
              <w:rPr>
                <w:rFonts w:hAnsiTheme="minorEastAsia"/>
                <w:lang w:eastAsia="zh-CN"/>
              </w:rPr>
            </w:pPr>
            <w:r>
              <w:rPr>
                <w:rFonts w:hAnsiTheme="minorEastAsia"/>
                <w:lang w:eastAsia="zh-CN"/>
              </w:rPr>
              <w:t>环境因素</w:t>
            </w:r>
            <w:r>
              <w:rPr>
                <w:lang w:eastAsia="zh-CN"/>
              </w:rPr>
              <w:t>/</w:t>
            </w:r>
            <w:r>
              <w:rPr>
                <w:rFonts w:hAnsiTheme="minorEastAsia"/>
                <w:lang w:eastAsia="zh-CN"/>
              </w:rPr>
              <w:t>危险源</w:t>
            </w:r>
          </w:p>
          <w:p>
            <w:pPr>
              <w:spacing w:line="360" w:lineRule="auto"/>
              <w:jc w:val="center"/>
              <w:rPr>
                <w:rFonts w:hAnsiTheme="minorEastAsia"/>
                <w:lang w:eastAsia="zh-CN"/>
              </w:rPr>
            </w:pPr>
          </w:p>
          <w:p>
            <w:pPr>
              <w:spacing w:line="360" w:lineRule="auto"/>
              <w:jc w:val="center"/>
              <w:rPr>
                <w:rFonts w:hAnsiTheme="minorEastAsia"/>
                <w:lang w:eastAsia="zh-CN"/>
              </w:rPr>
            </w:pPr>
          </w:p>
          <w:p>
            <w:pPr>
              <w:spacing w:line="360" w:lineRule="auto"/>
              <w:jc w:val="center"/>
              <w:rPr>
                <w:rFonts w:hAnsiTheme="minorEastAsia"/>
                <w:lang w:eastAsia="zh-CN"/>
              </w:rPr>
            </w:pPr>
          </w:p>
          <w:p>
            <w:pPr>
              <w:spacing w:line="360" w:lineRule="auto"/>
              <w:jc w:val="center"/>
              <w:rPr>
                <w:lang w:eastAsia="zh-CN"/>
              </w:rPr>
            </w:pPr>
            <w:r>
              <w:rPr>
                <w:rFonts w:hint="eastAsia"/>
                <w:lang w:eastAsia="zh-CN"/>
              </w:rPr>
              <w:t>措施的策划</w:t>
            </w:r>
          </w:p>
        </w:tc>
        <w:tc>
          <w:tcPr>
            <w:tcW w:w="1027" w:type="dxa"/>
          </w:tcPr>
          <w:p>
            <w:pPr>
              <w:spacing w:line="360" w:lineRule="auto"/>
            </w:pPr>
            <w:r>
              <w:t>EO6.1.2</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r>
              <w:rPr>
                <w:rFonts w:hint="eastAsia"/>
              </w:rPr>
              <w:t>EO6.1.4</w:t>
            </w:r>
          </w:p>
        </w:tc>
        <w:tc>
          <w:tcPr>
            <w:tcW w:w="10004" w:type="dxa"/>
            <w:vAlign w:val="center"/>
          </w:tcPr>
          <w:p>
            <w:pPr>
              <w:spacing w:beforeLines="50" w:afterLines="50" w:line="320" w:lineRule="exact"/>
              <w:ind w:firstLine="480" w:firstLineChars="200"/>
              <w:rPr>
                <w:rFonts w:hAnsi="宋体"/>
                <w:lang w:eastAsia="zh-CN"/>
              </w:rPr>
            </w:pPr>
            <w:r>
              <w:rPr>
                <w:rFonts w:hAnsi="宋体"/>
                <w:lang w:eastAsia="zh-CN"/>
              </w:rPr>
              <w:t>品质部有对所属区域范围内产品检验和办公活动中的环境因素进行识别、评价。</w:t>
            </w:r>
          </w:p>
          <w:p>
            <w:pPr>
              <w:spacing w:beforeLines="50" w:afterLines="50" w:line="320" w:lineRule="exact"/>
              <w:ind w:firstLine="480" w:firstLineChars="200"/>
              <w:rPr>
                <w:rFonts w:hAnsi="宋体"/>
                <w:lang w:eastAsia="zh-CN"/>
              </w:rPr>
            </w:pPr>
            <w:r>
              <w:rPr>
                <w:rFonts w:hAnsi="宋体"/>
                <w:lang w:eastAsia="zh-CN"/>
              </w:rPr>
              <w:t>识别的环境因素主要包括意外火灾、固体废弃物排放、生活垃圾的废弃、电能的消耗、水的消耗等，品质部重要环境因素是固废排放、火灾事故的发生。</w:t>
            </w:r>
          </w:p>
          <w:p>
            <w:pPr>
              <w:spacing w:beforeLines="50" w:afterLines="50" w:line="320" w:lineRule="exact"/>
              <w:ind w:firstLine="480" w:firstLineChars="200"/>
              <w:rPr>
                <w:rFonts w:hAnsi="宋体"/>
                <w:lang w:eastAsia="zh-CN"/>
              </w:rPr>
            </w:pPr>
            <w:r>
              <w:rPr>
                <w:rFonts w:hAnsi="宋体"/>
                <w:lang w:eastAsia="zh-CN"/>
              </w:rPr>
              <w:t>控制措施：固废分类存放、垃圾等由办公室负责按规定处置，日常监督检查和培训教育，配备有消防器材等措施。</w:t>
            </w:r>
          </w:p>
          <w:p>
            <w:pPr>
              <w:spacing w:beforeLines="50" w:afterLines="50" w:line="320" w:lineRule="exact"/>
              <w:ind w:firstLine="480" w:firstLineChars="200"/>
              <w:rPr>
                <w:rFonts w:hAnsi="宋体"/>
                <w:lang w:eastAsia="zh-CN"/>
              </w:rPr>
            </w:pPr>
            <w:r>
              <w:rPr>
                <w:rFonts w:hAnsi="宋体"/>
                <w:lang w:eastAsia="zh-CN"/>
              </w:rPr>
              <w:t>识别的危险源主要包括办公用电不当触电、热水烫伤、意外伤害、火灾、进车间抽查检验机械伤害、粉尘伤害、噪音伤害等。不可接受风险识别有：火灾、触电、噪音伤害、吸入性伤害。</w:t>
            </w:r>
          </w:p>
          <w:p>
            <w:pPr>
              <w:spacing w:beforeLines="50" w:afterLines="50" w:line="320" w:lineRule="exact"/>
              <w:ind w:firstLine="480" w:firstLineChars="200"/>
              <w:rPr>
                <w:rFonts w:hAnsi="宋体"/>
                <w:lang w:eastAsia="zh-CN"/>
              </w:rPr>
            </w:pPr>
            <w:r>
              <w:rPr>
                <w:rFonts w:hAnsi="宋体"/>
                <w:lang w:eastAsia="zh-CN"/>
              </w:rPr>
              <w:t>危险源控制执行管理方案、配备消防器材、个体防护、日常检查、日常培训教育等运行控制措施。</w:t>
            </w:r>
          </w:p>
        </w:tc>
        <w:tc>
          <w:tcPr>
            <w:tcW w:w="1585"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93" w:type="dxa"/>
          </w:tcPr>
          <w:p>
            <w:r>
              <w:rPr>
                <w:rFonts w:hAnsi="宋体"/>
              </w:rPr>
              <w:t>监视和测量资源</w:t>
            </w:r>
          </w:p>
        </w:tc>
        <w:tc>
          <w:tcPr>
            <w:tcW w:w="1027" w:type="dxa"/>
          </w:tcPr>
          <w:p>
            <w:r>
              <w:t>Q7.1.5</w:t>
            </w:r>
          </w:p>
        </w:tc>
        <w:tc>
          <w:tcPr>
            <w:tcW w:w="10004" w:type="dxa"/>
          </w:tcPr>
          <w:p>
            <w:pPr>
              <w:spacing w:beforeLines="30" w:afterLines="30" w:line="288" w:lineRule="auto"/>
              <w:ind w:firstLine="480" w:firstLineChars="200"/>
              <w:rPr>
                <w:lang w:eastAsia="zh-CN"/>
              </w:rPr>
            </w:pPr>
            <w:r>
              <w:rPr>
                <w:rFonts w:hAnsiTheme="minorEastAsia"/>
                <w:lang w:eastAsia="zh-CN"/>
              </w:rPr>
              <w:t>公司为确保产品监视和测量活动需要，提供</w:t>
            </w:r>
            <w:r>
              <w:rPr>
                <w:rFonts w:hint="eastAsia" w:hAnsiTheme="minorEastAsia"/>
                <w:lang w:eastAsia="zh-CN"/>
              </w:rPr>
              <w:t>游标卡尺、数显千分尺、电子吊钩秤、涂层测厚仪等</w:t>
            </w:r>
            <w:r>
              <w:rPr>
                <w:rFonts w:hint="eastAsia" w:ascii="宋体" w:hAnsi="宋体"/>
                <w:spacing w:val="20"/>
                <w:szCs w:val="22"/>
                <w:lang w:eastAsia="zh-CN"/>
              </w:rPr>
              <w:t>等</w:t>
            </w:r>
            <w:r>
              <w:rPr>
                <w:rFonts w:hAnsiTheme="minorEastAsia"/>
                <w:lang w:eastAsia="zh-CN"/>
              </w:rPr>
              <w:t>监视和测量设备，为确保监视和测量设备的精确度和准确度，公司有按策划的时间间隔对上述监视和测量资源实施校准</w:t>
            </w:r>
            <w:r>
              <w:rPr>
                <w:lang w:eastAsia="zh-CN"/>
              </w:rPr>
              <w:t>/</w:t>
            </w:r>
            <w:r>
              <w:rPr>
                <w:rFonts w:hAnsiTheme="minorEastAsia"/>
                <w:lang w:eastAsia="zh-CN"/>
              </w:rPr>
              <w:t>检定。</w:t>
            </w:r>
          </w:p>
          <w:p>
            <w:pPr>
              <w:spacing w:beforeLines="30" w:afterLines="30" w:line="288" w:lineRule="auto"/>
              <w:ind w:firstLine="480" w:firstLineChars="200"/>
              <w:rPr>
                <w:rFonts w:hint="eastAsia" w:hAnsiTheme="minorEastAsia"/>
                <w:lang w:eastAsia="zh-CN"/>
              </w:rPr>
            </w:pPr>
            <w:r>
              <w:rPr>
                <w:rFonts w:hint="eastAsia" w:hAnsiTheme="minorEastAsia"/>
                <w:lang w:eastAsia="zh-CN"/>
              </w:rPr>
              <w:t>抽查电子吊称校准证书  HK09180224010  规格/型号：OCS-10T/5kg</w:t>
            </w:r>
          </w:p>
          <w:p>
            <w:pPr>
              <w:spacing w:beforeLines="30" w:afterLines="30" w:line="288" w:lineRule="auto"/>
              <w:ind w:firstLine="480" w:firstLineChars="200"/>
              <w:rPr>
                <w:rFonts w:hint="eastAsia" w:hAnsiTheme="minorEastAsia"/>
                <w:lang w:eastAsia="zh-CN"/>
              </w:rPr>
            </w:pPr>
            <w:r>
              <w:rPr>
                <w:rFonts w:hint="eastAsia" w:hAnsiTheme="minorEastAsia"/>
                <w:lang w:eastAsia="zh-CN"/>
              </w:rPr>
              <w:t xml:space="preserve">校准日期：2021.02.23   </w:t>
            </w:r>
          </w:p>
          <w:p>
            <w:pPr>
              <w:spacing w:beforeLines="30" w:afterLines="30" w:line="288" w:lineRule="auto"/>
              <w:ind w:firstLine="480" w:firstLineChars="200"/>
              <w:rPr>
                <w:rFonts w:hint="eastAsia" w:hAnsiTheme="minorEastAsia"/>
                <w:lang w:eastAsia="zh-CN"/>
              </w:rPr>
            </w:pPr>
            <w:r>
              <w:rPr>
                <w:rFonts w:hint="eastAsia" w:hAnsiTheme="minorEastAsia"/>
                <w:lang w:eastAsia="zh-CN"/>
              </w:rPr>
              <w:t>校准单位：深圳市华科计量检测技术有限公司</w:t>
            </w:r>
          </w:p>
          <w:p>
            <w:pPr>
              <w:spacing w:beforeLines="30" w:afterLines="30" w:line="288" w:lineRule="auto"/>
              <w:ind w:firstLine="480" w:firstLineChars="200"/>
              <w:rPr>
                <w:rFonts w:hint="eastAsia" w:hAnsiTheme="minorEastAsia"/>
                <w:lang w:eastAsia="zh-CN"/>
              </w:rPr>
            </w:pPr>
            <w:r>
              <w:rPr>
                <w:rFonts w:hint="eastAsia" w:hAnsiTheme="minorEastAsia"/>
                <w:lang w:eastAsia="zh-CN"/>
              </w:rPr>
              <w:t>抽查涂层测厚仪校准证书  HK09180224009  规格/型号：SN-210</w:t>
            </w:r>
          </w:p>
          <w:p>
            <w:pPr>
              <w:spacing w:beforeLines="30" w:afterLines="30" w:line="288" w:lineRule="auto"/>
              <w:ind w:firstLine="480" w:firstLineChars="200"/>
              <w:rPr>
                <w:rFonts w:hint="eastAsia" w:hAnsiTheme="minorEastAsia"/>
                <w:lang w:eastAsia="zh-CN"/>
              </w:rPr>
            </w:pPr>
            <w:r>
              <w:rPr>
                <w:rFonts w:hint="eastAsia" w:hAnsiTheme="minorEastAsia"/>
                <w:lang w:eastAsia="zh-CN"/>
              </w:rPr>
              <w:t xml:space="preserve">校准日期：2021.02.23   </w:t>
            </w:r>
          </w:p>
          <w:p>
            <w:pPr>
              <w:spacing w:beforeLines="30" w:afterLines="30" w:line="288" w:lineRule="auto"/>
              <w:ind w:firstLine="480" w:firstLineChars="200"/>
              <w:rPr>
                <w:rFonts w:hint="eastAsia" w:hAnsiTheme="minorEastAsia"/>
                <w:lang w:eastAsia="zh-CN"/>
              </w:rPr>
            </w:pPr>
            <w:r>
              <w:rPr>
                <w:rFonts w:hint="eastAsia" w:hAnsiTheme="minorEastAsia"/>
                <w:lang w:eastAsia="zh-CN"/>
              </w:rPr>
              <w:t>校准单位：深圳市华科计量检测技术有限公司</w:t>
            </w:r>
          </w:p>
          <w:p>
            <w:pPr>
              <w:spacing w:beforeLines="30" w:afterLines="30" w:line="288" w:lineRule="auto"/>
              <w:ind w:firstLine="480" w:firstLineChars="200"/>
              <w:rPr>
                <w:rFonts w:hint="eastAsia" w:hAnsiTheme="minorEastAsia"/>
                <w:lang w:eastAsia="zh-CN"/>
              </w:rPr>
            </w:pPr>
            <w:r>
              <w:rPr>
                <w:rFonts w:hint="eastAsia" w:hAnsiTheme="minorEastAsia"/>
                <w:lang w:eastAsia="zh-CN"/>
              </w:rPr>
              <w:t>抽查游标卡尺校准证书  HK09180224007  规格/型号：0-600mm</w:t>
            </w:r>
          </w:p>
          <w:p>
            <w:pPr>
              <w:spacing w:beforeLines="30" w:afterLines="30" w:line="288" w:lineRule="auto"/>
              <w:ind w:firstLine="480" w:firstLineChars="200"/>
              <w:rPr>
                <w:rFonts w:hint="eastAsia" w:hAnsiTheme="minorEastAsia"/>
                <w:lang w:eastAsia="zh-CN"/>
              </w:rPr>
            </w:pPr>
            <w:r>
              <w:rPr>
                <w:rFonts w:hint="eastAsia" w:hAnsiTheme="minorEastAsia"/>
                <w:lang w:eastAsia="zh-CN"/>
              </w:rPr>
              <w:t xml:space="preserve">校准日期：2021.02.23   </w:t>
            </w:r>
          </w:p>
          <w:p>
            <w:pPr>
              <w:spacing w:beforeLines="30" w:afterLines="30" w:line="288" w:lineRule="auto"/>
              <w:ind w:firstLine="480" w:firstLineChars="200"/>
              <w:rPr>
                <w:rFonts w:hAnsiTheme="minorEastAsia"/>
                <w:lang w:eastAsia="zh-CN"/>
              </w:rPr>
            </w:pPr>
            <w:r>
              <w:rPr>
                <w:rFonts w:hint="eastAsia" w:hAnsiTheme="minorEastAsia"/>
                <w:lang w:eastAsia="zh-CN"/>
              </w:rPr>
              <w:t>校准单位：深圳市华科计量检测技术有限公司</w:t>
            </w:r>
          </w:p>
          <w:p>
            <w:pPr>
              <w:pStyle w:val="2"/>
              <w:spacing w:beforeLines="50" w:afterLines="50" w:line="320" w:lineRule="exact"/>
              <w:ind w:right="180" w:firstLine="480" w:firstLineChars="200"/>
              <w:rPr>
                <w:rFonts w:hAnsi="宋体"/>
                <w:lang w:eastAsia="zh-CN"/>
              </w:rPr>
            </w:pPr>
            <w:r>
              <w:rPr>
                <w:rFonts w:hAnsiTheme="minorEastAsia"/>
                <w:lang w:eastAsia="zh-CN"/>
              </w:rPr>
              <w:t>监视和测量设备由使用人负责保管维护，以防止损坏或失效</w:t>
            </w:r>
            <w:r>
              <w:rPr>
                <w:lang w:eastAsia="zh-CN"/>
              </w:rPr>
              <w:t xml:space="preserve">, </w:t>
            </w:r>
            <w:r>
              <w:rPr>
                <w:rFonts w:hAnsiTheme="minorEastAsia"/>
                <w:lang w:eastAsia="zh-CN"/>
              </w:rPr>
              <w:t>目前尚未发现监视测量设备在检定有效期内失准的情况，监视和测量设备运行环境适宜。</w:t>
            </w:r>
          </w:p>
        </w:tc>
        <w:tc>
          <w:tcPr>
            <w:tcW w:w="1585"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93" w:type="dxa"/>
          </w:tcPr>
          <w:p>
            <w:r>
              <w:rPr>
                <w:rFonts w:hAnsi="宋体"/>
              </w:rPr>
              <w:t>产品和服务的放行</w:t>
            </w:r>
          </w:p>
          <w:p/>
        </w:tc>
        <w:tc>
          <w:tcPr>
            <w:tcW w:w="1027" w:type="dxa"/>
          </w:tcPr>
          <w:p>
            <w:r>
              <w:t>Q8.6</w:t>
            </w:r>
          </w:p>
        </w:tc>
        <w:tc>
          <w:tcPr>
            <w:tcW w:w="10004" w:type="dxa"/>
          </w:tcPr>
          <w:p>
            <w:pPr>
              <w:spacing w:beforeLines="50" w:afterLines="50" w:line="320" w:lineRule="exact"/>
              <w:ind w:firstLine="480" w:firstLineChars="200"/>
              <w:rPr>
                <w:rFonts w:hAnsi="宋体"/>
                <w:lang w:eastAsia="zh-CN"/>
              </w:rPr>
            </w:pPr>
            <w:r>
              <w:rPr>
                <w:rFonts w:hAnsi="宋体"/>
                <w:lang w:eastAsia="zh-CN"/>
              </w:rPr>
              <w:t>公司编制了《产品检验和试验控制程序》，规定了对原材料、过程产品、成品实施检验，并制定了相应的检验规范。</w:t>
            </w:r>
          </w:p>
          <w:p>
            <w:pPr>
              <w:spacing w:beforeLines="50" w:afterLines="50" w:line="320" w:lineRule="exact"/>
              <w:rPr>
                <w:rFonts w:hAnsi="宋体"/>
                <w:lang w:eastAsia="zh-CN"/>
              </w:rPr>
            </w:pPr>
            <w:r>
              <w:rPr>
                <w:rFonts w:hAnsi="宋体"/>
                <w:lang w:eastAsia="zh-CN"/>
              </w:rPr>
              <w:t>（一）原材料检验，检验依据：原材料检验规程，明确了采购物资的验收要求。</w:t>
            </w:r>
          </w:p>
          <w:p>
            <w:pPr>
              <w:spacing w:beforeLines="50" w:afterLines="50" w:line="320" w:lineRule="exact"/>
              <w:ind w:firstLine="480" w:firstLineChars="200"/>
              <w:rPr>
                <w:rFonts w:hAnsi="宋体"/>
                <w:lang w:eastAsia="zh-CN"/>
              </w:rPr>
            </w:pPr>
            <w:r>
              <w:rPr>
                <w:rFonts w:hAnsi="宋体"/>
                <w:lang w:eastAsia="zh-CN"/>
              </w:rPr>
              <w:t>提供物料验收入库单，</w:t>
            </w:r>
          </w:p>
          <w:p>
            <w:pPr>
              <w:spacing w:beforeLines="50" w:afterLines="50" w:line="320" w:lineRule="exact"/>
              <w:ind w:firstLine="480" w:firstLineChars="200"/>
              <w:rPr>
                <w:rFonts w:hAnsi="宋体"/>
                <w:lang w:eastAsia="zh-CN"/>
              </w:rPr>
            </w:pPr>
            <w:r>
              <w:rPr>
                <w:rFonts w:hAnsi="宋体"/>
                <w:lang w:eastAsia="zh-CN"/>
              </w:rPr>
              <w:t>抽查20</w:t>
            </w:r>
            <w:r>
              <w:rPr>
                <w:rFonts w:hint="eastAsia" w:hAnsi="宋体"/>
                <w:lang w:eastAsia="zh-CN"/>
              </w:rPr>
              <w:t>21</w:t>
            </w:r>
            <w:r>
              <w:rPr>
                <w:rFonts w:hAnsi="宋体"/>
                <w:lang w:eastAsia="zh-CN"/>
              </w:rPr>
              <w:t>.</w:t>
            </w:r>
            <w:r>
              <w:rPr>
                <w:rFonts w:hint="eastAsia" w:hAnsi="宋体"/>
                <w:lang w:eastAsia="zh-CN"/>
              </w:rPr>
              <w:t>3</w:t>
            </w:r>
            <w:r>
              <w:rPr>
                <w:rFonts w:hAnsi="宋体"/>
                <w:lang w:eastAsia="zh-CN"/>
              </w:rPr>
              <w:t>.</w:t>
            </w:r>
            <w:r>
              <w:rPr>
                <w:rFonts w:hint="eastAsia" w:hAnsi="宋体"/>
                <w:lang w:eastAsia="zh-CN"/>
              </w:rPr>
              <w:t>8</w:t>
            </w:r>
            <w:r>
              <w:rPr>
                <w:rFonts w:hAnsi="宋体"/>
                <w:lang w:eastAsia="zh-CN"/>
              </w:rPr>
              <w:t>日玻璃进货检验记录，对外观、规格，环保属性ROHS等项进行了检验，结果合格，检验员吴小亭。</w:t>
            </w:r>
          </w:p>
          <w:p>
            <w:pPr>
              <w:spacing w:beforeLines="50" w:afterLines="50" w:line="320" w:lineRule="exact"/>
              <w:ind w:firstLine="480" w:firstLineChars="200"/>
              <w:rPr>
                <w:rFonts w:hAnsi="宋体"/>
                <w:lang w:eastAsia="zh-CN"/>
              </w:rPr>
            </w:pPr>
            <w:r>
              <w:rPr>
                <w:rFonts w:hAnsi="宋体"/>
                <w:lang w:eastAsia="zh-CN"/>
              </w:rPr>
              <w:t>抽查20</w:t>
            </w:r>
            <w:r>
              <w:rPr>
                <w:rFonts w:hint="eastAsia" w:hAnsi="宋体"/>
                <w:lang w:eastAsia="zh-CN"/>
              </w:rPr>
              <w:t>20</w:t>
            </w:r>
            <w:r>
              <w:rPr>
                <w:rFonts w:hAnsi="宋体"/>
                <w:lang w:eastAsia="zh-CN"/>
              </w:rPr>
              <w:t>.</w:t>
            </w:r>
            <w:r>
              <w:rPr>
                <w:rFonts w:hint="eastAsia" w:hAnsi="宋体"/>
                <w:lang w:eastAsia="zh-CN"/>
              </w:rPr>
              <w:t>5</w:t>
            </w:r>
            <w:r>
              <w:rPr>
                <w:rFonts w:hAnsi="宋体"/>
                <w:lang w:eastAsia="zh-CN"/>
              </w:rPr>
              <w:t>.</w:t>
            </w:r>
            <w:r>
              <w:rPr>
                <w:rFonts w:hint="eastAsia" w:hAnsi="宋体"/>
                <w:lang w:eastAsia="zh-CN"/>
              </w:rPr>
              <w:t>8</w:t>
            </w:r>
            <w:r>
              <w:rPr>
                <w:rFonts w:hAnsi="宋体"/>
                <w:lang w:eastAsia="zh-CN"/>
              </w:rPr>
              <w:t>日彩钢板进货检验记录，对外观、规格进行了检验，结果合格，检验员黄小兰。</w:t>
            </w:r>
          </w:p>
          <w:p>
            <w:pPr>
              <w:spacing w:beforeLines="50" w:afterLines="50" w:line="320" w:lineRule="exact"/>
              <w:ind w:firstLine="480" w:firstLineChars="200"/>
              <w:rPr>
                <w:rFonts w:hAnsi="宋体"/>
                <w:lang w:eastAsia="zh-CN"/>
              </w:rPr>
            </w:pPr>
            <w:r>
              <w:rPr>
                <w:rFonts w:hAnsi="宋体"/>
                <w:lang w:eastAsia="zh-CN"/>
              </w:rPr>
              <w:t>抽查20</w:t>
            </w:r>
            <w:r>
              <w:rPr>
                <w:rFonts w:hint="eastAsia" w:hAnsi="宋体"/>
                <w:lang w:eastAsia="zh-CN"/>
              </w:rPr>
              <w:t>21</w:t>
            </w:r>
            <w:r>
              <w:rPr>
                <w:rFonts w:hAnsi="宋体"/>
                <w:lang w:eastAsia="zh-CN"/>
              </w:rPr>
              <w:t>.1.22日不锈钢进货检验记录，对数量、外观、厚度进行了检验，结果合格，检验员张志卿。</w:t>
            </w:r>
          </w:p>
          <w:p>
            <w:pPr>
              <w:spacing w:beforeLines="30" w:afterLines="30" w:line="288" w:lineRule="auto"/>
              <w:ind w:firstLine="480" w:firstLineChars="200"/>
              <w:rPr>
                <w:rFonts w:hAnsiTheme="minorEastAsia"/>
                <w:lang w:eastAsia="zh-CN"/>
              </w:rPr>
            </w:pPr>
            <w:r>
              <w:rPr>
                <w:rFonts w:hint="eastAsia" w:hAnsiTheme="minorEastAsia"/>
                <w:lang w:eastAsia="zh-CN"/>
              </w:rPr>
              <w:t>抽查2021.2.21日塑粉进货检验记录，对外观、试喷、颜色色差、百格、冲击等进行了检验，结果合格，检验员</w:t>
            </w:r>
            <w:r>
              <w:rPr>
                <w:rFonts w:hAnsi="宋体"/>
                <w:lang w:eastAsia="zh-CN"/>
              </w:rPr>
              <w:t>张志卿</w:t>
            </w:r>
            <w:r>
              <w:rPr>
                <w:rFonts w:hint="eastAsia" w:hAnsiTheme="minorEastAsia"/>
                <w:lang w:eastAsia="zh-CN"/>
              </w:rPr>
              <w:t>。</w:t>
            </w:r>
          </w:p>
          <w:p>
            <w:pPr>
              <w:spacing w:beforeLines="30" w:afterLines="30" w:line="288" w:lineRule="auto"/>
              <w:ind w:firstLine="480" w:firstLineChars="200"/>
              <w:rPr>
                <w:rFonts w:hAnsiTheme="minorEastAsia"/>
                <w:lang w:eastAsia="zh-CN"/>
              </w:rPr>
            </w:pPr>
            <w:r>
              <w:rPr>
                <w:rFonts w:hAnsiTheme="minorEastAsia"/>
                <w:lang w:eastAsia="zh-CN"/>
              </w:rPr>
              <w:t>查看到了冷轧钢板、</w:t>
            </w:r>
            <w:r>
              <w:rPr>
                <w:rFonts w:hint="eastAsia" w:hAnsiTheme="minorEastAsia"/>
                <w:lang w:eastAsia="zh-CN"/>
              </w:rPr>
              <w:t>塑粉</w:t>
            </w:r>
            <w:r>
              <w:rPr>
                <w:rFonts w:hAnsiTheme="minorEastAsia"/>
                <w:lang w:eastAsia="zh-CN"/>
              </w:rPr>
              <w:t>等产品第三方委托检验记录，结果合格，见附件。</w:t>
            </w:r>
          </w:p>
          <w:p>
            <w:pPr>
              <w:spacing w:beforeLines="30" w:afterLines="30" w:line="288" w:lineRule="auto"/>
              <w:ind w:firstLine="480" w:firstLineChars="200"/>
              <w:rPr>
                <w:rFonts w:hAnsiTheme="minorEastAsia"/>
                <w:lang w:eastAsia="zh-CN"/>
              </w:rPr>
            </w:pPr>
            <w:r>
              <w:rPr>
                <w:rFonts w:hAnsiTheme="minorEastAsia"/>
                <w:lang w:eastAsia="zh-CN"/>
              </w:rPr>
              <w:t>没有发生在供方处进行验证的情况。</w:t>
            </w:r>
          </w:p>
          <w:p>
            <w:pPr>
              <w:spacing w:beforeLines="50" w:afterLines="50" w:line="320" w:lineRule="exact"/>
              <w:rPr>
                <w:rFonts w:hAnsi="宋体"/>
                <w:lang w:eastAsia="zh-CN"/>
              </w:rPr>
            </w:pPr>
            <w:r>
              <w:rPr>
                <w:rFonts w:hAnsi="宋体"/>
                <w:lang w:eastAsia="zh-CN"/>
              </w:rPr>
              <w:t>（二）过程检验，检验依据：产品检验规范，</w:t>
            </w:r>
          </w:p>
          <w:p>
            <w:pPr>
              <w:spacing w:beforeLines="50" w:afterLines="50" w:line="320" w:lineRule="exact"/>
              <w:ind w:firstLine="480" w:firstLineChars="200"/>
              <w:rPr>
                <w:rFonts w:hAnsi="宋体"/>
                <w:lang w:eastAsia="zh-CN"/>
              </w:rPr>
            </w:pPr>
            <w:r>
              <w:rPr>
                <w:rFonts w:hAnsi="宋体"/>
                <w:lang w:eastAsia="zh-CN"/>
              </w:rPr>
              <w:t>提供制程检验记录，</w:t>
            </w:r>
          </w:p>
          <w:p>
            <w:pPr>
              <w:spacing w:beforeLines="50" w:afterLines="50" w:line="320" w:lineRule="exact"/>
              <w:ind w:firstLine="480" w:firstLineChars="200"/>
              <w:rPr>
                <w:rFonts w:hAnsi="宋体"/>
                <w:lang w:eastAsia="zh-CN"/>
              </w:rPr>
            </w:pPr>
            <w:r>
              <w:rPr>
                <w:rFonts w:hAnsi="宋体"/>
                <w:lang w:eastAsia="zh-CN"/>
              </w:rPr>
              <w:t>抽查:20</w:t>
            </w:r>
            <w:r>
              <w:rPr>
                <w:rFonts w:hint="eastAsia" w:hAnsi="宋体"/>
                <w:lang w:eastAsia="zh-CN"/>
              </w:rPr>
              <w:t>20</w:t>
            </w:r>
            <w:r>
              <w:rPr>
                <w:rFonts w:hAnsi="宋体"/>
                <w:lang w:eastAsia="zh-CN"/>
              </w:rPr>
              <w:t>年</w:t>
            </w:r>
            <w:r>
              <w:rPr>
                <w:rFonts w:hint="eastAsia" w:hAnsi="宋体"/>
                <w:lang w:eastAsia="zh-CN"/>
              </w:rPr>
              <w:t>11</w:t>
            </w:r>
            <w:r>
              <w:rPr>
                <w:rFonts w:hAnsi="宋体"/>
                <w:lang w:eastAsia="zh-CN"/>
              </w:rPr>
              <w:t>月</w:t>
            </w:r>
            <w:r>
              <w:rPr>
                <w:rFonts w:hint="eastAsia" w:hAnsi="宋体"/>
                <w:lang w:eastAsia="zh-CN"/>
              </w:rPr>
              <w:t>30</w:t>
            </w:r>
            <w:r>
              <w:rPr>
                <w:rFonts w:hAnsi="宋体"/>
                <w:lang w:eastAsia="zh-CN"/>
              </w:rPr>
              <w:t>检验记录，</w:t>
            </w:r>
          </w:p>
          <w:p>
            <w:pPr>
              <w:spacing w:beforeLines="50" w:afterLines="50" w:line="320" w:lineRule="exact"/>
              <w:ind w:firstLine="480" w:firstLineChars="200"/>
              <w:rPr>
                <w:rFonts w:hAnsi="宋体"/>
                <w:lang w:eastAsia="zh-CN"/>
              </w:rPr>
            </w:pPr>
            <w:r>
              <w:rPr>
                <w:rFonts w:hAnsi="宋体"/>
                <w:lang w:eastAsia="zh-CN"/>
              </w:rPr>
              <w:t>产品名称：三明候车亭，</w:t>
            </w:r>
          </w:p>
          <w:p>
            <w:pPr>
              <w:spacing w:beforeLines="50" w:afterLines="50" w:line="320" w:lineRule="exact"/>
              <w:ind w:firstLine="480" w:firstLineChars="200"/>
              <w:rPr>
                <w:rFonts w:hAnsi="宋体"/>
                <w:lang w:eastAsia="zh-CN"/>
              </w:rPr>
            </w:pPr>
            <w:r>
              <w:rPr>
                <w:rFonts w:hAnsi="宋体"/>
                <w:lang w:eastAsia="zh-CN"/>
              </w:rPr>
              <w:t>在激光切割过程中，对产品表面无划伤、变形、尺寸、孔位等项进行了检验。</w:t>
            </w:r>
          </w:p>
          <w:p>
            <w:pPr>
              <w:spacing w:beforeLines="50" w:afterLines="50" w:line="320" w:lineRule="exact"/>
              <w:ind w:firstLine="480" w:firstLineChars="200"/>
              <w:rPr>
                <w:rFonts w:hAnsi="宋体"/>
                <w:lang w:eastAsia="zh-CN"/>
              </w:rPr>
            </w:pPr>
            <w:r>
              <w:rPr>
                <w:rFonts w:hAnsi="宋体"/>
                <w:lang w:eastAsia="zh-CN"/>
              </w:rPr>
              <w:t>检验结果：合格</w:t>
            </w:r>
            <w:r>
              <w:rPr>
                <w:rFonts w:hint="eastAsia" w:hAnsi="宋体"/>
                <w:lang w:eastAsia="zh-CN"/>
              </w:rPr>
              <w:t xml:space="preserve">    </w:t>
            </w:r>
            <w:r>
              <w:rPr>
                <w:rFonts w:hAnsi="宋体"/>
                <w:lang w:eastAsia="zh-CN"/>
              </w:rPr>
              <w:t>检验员：黄小兰、张志卿。</w:t>
            </w:r>
          </w:p>
          <w:p>
            <w:pPr>
              <w:spacing w:beforeLines="50" w:afterLines="50" w:line="320" w:lineRule="exact"/>
              <w:ind w:firstLine="480" w:firstLineChars="200"/>
              <w:rPr>
                <w:rFonts w:hAnsi="宋体"/>
                <w:lang w:eastAsia="zh-CN"/>
              </w:rPr>
            </w:pPr>
            <w:r>
              <w:rPr>
                <w:rFonts w:hAnsi="宋体"/>
                <w:lang w:eastAsia="zh-CN"/>
              </w:rPr>
              <w:t>抽查:20</w:t>
            </w:r>
            <w:r>
              <w:rPr>
                <w:rFonts w:hint="eastAsia" w:hAnsi="宋体"/>
                <w:lang w:eastAsia="zh-CN"/>
              </w:rPr>
              <w:t>20</w:t>
            </w:r>
            <w:r>
              <w:rPr>
                <w:rFonts w:hAnsi="宋体"/>
                <w:lang w:eastAsia="zh-CN"/>
              </w:rPr>
              <w:t>年</w:t>
            </w:r>
            <w:r>
              <w:rPr>
                <w:rFonts w:hint="eastAsia" w:hAnsi="宋体"/>
                <w:lang w:eastAsia="zh-CN"/>
              </w:rPr>
              <w:t>12</w:t>
            </w:r>
            <w:r>
              <w:rPr>
                <w:rFonts w:hAnsi="宋体"/>
                <w:lang w:eastAsia="zh-CN"/>
              </w:rPr>
              <w:t>月</w:t>
            </w:r>
            <w:r>
              <w:rPr>
                <w:rFonts w:hint="eastAsia" w:hAnsi="宋体"/>
                <w:lang w:eastAsia="zh-CN"/>
              </w:rPr>
              <w:t>22</w:t>
            </w:r>
            <w:r>
              <w:rPr>
                <w:rFonts w:hAnsi="宋体"/>
                <w:lang w:eastAsia="zh-CN"/>
              </w:rPr>
              <w:t>日检验记录，</w:t>
            </w:r>
          </w:p>
          <w:p>
            <w:pPr>
              <w:spacing w:beforeLines="50" w:afterLines="50" w:line="320" w:lineRule="exact"/>
              <w:ind w:firstLine="480" w:firstLineChars="200"/>
              <w:rPr>
                <w:rFonts w:hAnsi="宋体"/>
                <w:lang w:eastAsia="zh-CN"/>
              </w:rPr>
            </w:pPr>
            <w:r>
              <w:rPr>
                <w:rFonts w:hAnsi="宋体"/>
                <w:lang w:eastAsia="zh-CN"/>
              </w:rPr>
              <w:t>产品名称：四代服务亭，</w:t>
            </w:r>
          </w:p>
          <w:p>
            <w:pPr>
              <w:spacing w:beforeLines="50" w:afterLines="50" w:line="320" w:lineRule="exact"/>
              <w:ind w:firstLine="480" w:firstLineChars="200"/>
              <w:rPr>
                <w:rFonts w:hAnsi="宋体"/>
                <w:lang w:eastAsia="zh-CN"/>
              </w:rPr>
            </w:pPr>
            <w:r>
              <w:rPr>
                <w:rFonts w:hAnsi="宋体"/>
                <w:lang w:eastAsia="zh-CN"/>
              </w:rPr>
              <w:t>在生产喷涂过程中，对产品的外观、百格、膜厚、颜色、色差等项进行了检验。</w:t>
            </w:r>
          </w:p>
          <w:p>
            <w:pPr>
              <w:spacing w:beforeLines="50" w:afterLines="50" w:line="320" w:lineRule="exact"/>
              <w:ind w:firstLine="480" w:firstLineChars="200"/>
              <w:rPr>
                <w:rFonts w:hAnsi="宋体"/>
                <w:lang w:eastAsia="zh-CN"/>
              </w:rPr>
            </w:pPr>
            <w:r>
              <w:rPr>
                <w:rFonts w:hAnsi="宋体"/>
                <w:lang w:eastAsia="zh-CN"/>
              </w:rPr>
              <w:t>检验结果：合格</w:t>
            </w:r>
            <w:r>
              <w:rPr>
                <w:rFonts w:hint="eastAsia" w:hAnsi="宋体"/>
                <w:lang w:eastAsia="zh-CN"/>
              </w:rPr>
              <w:t xml:space="preserve">    </w:t>
            </w:r>
            <w:r>
              <w:rPr>
                <w:rFonts w:hAnsi="宋体"/>
                <w:lang w:eastAsia="zh-CN"/>
              </w:rPr>
              <w:t>检验员：刘红霞、张志卿。</w:t>
            </w:r>
          </w:p>
          <w:p>
            <w:pPr>
              <w:spacing w:beforeLines="50" w:afterLines="50" w:line="320" w:lineRule="exact"/>
              <w:ind w:firstLine="480" w:firstLineChars="200"/>
              <w:rPr>
                <w:rFonts w:hAnsi="宋体"/>
                <w:lang w:eastAsia="zh-CN"/>
              </w:rPr>
            </w:pPr>
            <w:r>
              <w:rPr>
                <w:rFonts w:hAnsi="宋体"/>
                <w:lang w:eastAsia="zh-CN"/>
              </w:rPr>
              <w:t>抽查:20</w:t>
            </w:r>
            <w:r>
              <w:rPr>
                <w:rFonts w:hint="eastAsia" w:hAnsi="宋体"/>
                <w:lang w:eastAsia="zh-CN"/>
              </w:rPr>
              <w:t>20</w:t>
            </w:r>
            <w:r>
              <w:rPr>
                <w:rFonts w:hAnsi="宋体"/>
                <w:lang w:eastAsia="zh-CN"/>
              </w:rPr>
              <w:t>年</w:t>
            </w:r>
            <w:r>
              <w:rPr>
                <w:rFonts w:hint="eastAsia" w:hAnsi="宋体"/>
                <w:lang w:eastAsia="zh-CN"/>
              </w:rPr>
              <w:t>6</w:t>
            </w:r>
            <w:r>
              <w:rPr>
                <w:rFonts w:hAnsi="宋体"/>
                <w:lang w:eastAsia="zh-CN"/>
              </w:rPr>
              <w:t>月</w:t>
            </w:r>
            <w:r>
              <w:rPr>
                <w:rFonts w:hint="eastAsia" w:hAnsi="宋体"/>
                <w:lang w:eastAsia="zh-CN"/>
              </w:rPr>
              <w:t>19</w:t>
            </w:r>
            <w:r>
              <w:rPr>
                <w:rFonts w:hAnsi="宋体"/>
                <w:lang w:eastAsia="zh-CN"/>
              </w:rPr>
              <w:t>日检验记录，</w:t>
            </w:r>
          </w:p>
          <w:p>
            <w:pPr>
              <w:spacing w:beforeLines="50" w:afterLines="50" w:line="320" w:lineRule="exact"/>
              <w:ind w:firstLine="480" w:firstLineChars="200"/>
              <w:rPr>
                <w:rFonts w:hAnsi="宋体"/>
                <w:lang w:eastAsia="zh-CN"/>
              </w:rPr>
            </w:pPr>
            <w:r>
              <w:rPr>
                <w:rFonts w:hAnsi="宋体"/>
                <w:lang w:eastAsia="zh-CN"/>
              </w:rPr>
              <w:t>产品名称：</w:t>
            </w:r>
            <w:r>
              <w:rPr>
                <w:rFonts w:hint="eastAsia" w:hAnsi="宋体"/>
                <w:lang w:eastAsia="zh-CN"/>
              </w:rPr>
              <w:t>12m候车</w:t>
            </w:r>
            <w:r>
              <w:rPr>
                <w:rFonts w:hAnsi="宋体"/>
                <w:lang w:eastAsia="zh-CN"/>
              </w:rPr>
              <w:t>亭，</w:t>
            </w:r>
          </w:p>
          <w:p>
            <w:pPr>
              <w:spacing w:beforeLines="50" w:afterLines="50" w:line="320" w:lineRule="exact"/>
              <w:ind w:firstLine="480" w:firstLineChars="200"/>
              <w:rPr>
                <w:rFonts w:hAnsi="宋体"/>
                <w:lang w:eastAsia="zh-CN"/>
              </w:rPr>
            </w:pPr>
            <w:r>
              <w:rPr>
                <w:rFonts w:hAnsi="宋体"/>
                <w:lang w:eastAsia="zh-CN"/>
              </w:rPr>
              <w:t>在生产折弯过程中，对产品的尺寸、表面无刺伤、变形等项进行了检验</w:t>
            </w:r>
          </w:p>
          <w:p>
            <w:pPr>
              <w:spacing w:beforeLines="50" w:afterLines="50" w:line="320" w:lineRule="exact"/>
              <w:ind w:firstLine="480" w:firstLineChars="200"/>
              <w:rPr>
                <w:rFonts w:hAnsi="宋体"/>
                <w:lang w:eastAsia="zh-CN"/>
              </w:rPr>
            </w:pPr>
            <w:r>
              <w:rPr>
                <w:rFonts w:hAnsi="宋体"/>
                <w:lang w:eastAsia="zh-CN"/>
              </w:rPr>
              <w:t>检验结果：合格</w:t>
            </w:r>
            <w:r>
              <w:rPr>
                <w:rFonts w:hint="eastAsia" w:hAnsi="宋体"/>
                <w:lang w:eastAsia="zh-CN"/>
              </w:rPr>
              <w:t xml:space="preserve">     </w:t>
            </w:r>
            <w:r>
              <w:rPr>
                <w:rFonts w:hAnsi="宋体"/>
                <w:lang w:eastAsia="zh-CN"/>
              </w:rPr>
              <w:t>检验员：黄小兰。</w:t>
            </w:r>
          </w:p>
          <w:p>
            <w:pPr>
              <w:spacing w:beforeLines="50" w:afterLines="50" w:line="320" w:lineRule="exact"/>
              <w:ind w:firstLine="480" w:firstLineChars="200"/>
              <w:rPr>
                <w:rFonts w:hAnsi="宋体"/>
                <w:lang w:eastAsia="zh-CN"/>
              </w:rPr>
            </w:pPr>
            <w:r>
              <w:rPr>
                <w:rFonts w:hAnsi="宋体"/>
                <w:lang w:eastAsia="zh-CN"/>
              </w:rPr>
              <w:t>抽查:20</w:t>
            </w:r>
            <w:r>
              <w:rPr>
                <w:rFonts w:hint="eastAsia" w:hAnsi="宋体"/>
                <w:lang w:eastAsia="zh-CN"/>
              </w:rPr>
              <w:t>20</w:t>
            </w:r>
            <w:r>
              <w:rPr>
                <w:rFonts w:hAnsi="宋体"/>
                <w:lang w:eastAsia="zh-CN"/>
              </w:rPr>
              <w:t>年</w:t>
            </w:r>
            <w:r>
              <w:rPr>
                <w:rFonts w:hint="eastAsia" w:hAnsi="宋体"/>
                <w:lang w:eastAsia="zh-CN"/>
              </w:rPr>
              <w:t>6</w:t>
            </w:r>
            <w:r>
              <w:rPr>
                <w:rFonts w:hAnsi="宋体"/>
                <w:lang w:eastAsia="zh-CN"/>
              </w:rPr>
              <w:t>月</w:t>
            </w:r>
            <w:r>
              <w:rPr>
                <w:rFonts w:hint="eastAsia" w:hAnsi="宋体"/>
                <w:lang w:eastAsia="zh-CN"/>
              </w:rPr>
              <w:t>24</w:t>
            </w:r>
            <w:r>
              <w:rPr>
                <w:rFonts w:hAnsi="宋体"/>
                <w:lang w:eastAsia="zh-CN"/>
              </w:rPr>
              <w:t>日检验记录，</w:t>
            </w:r>
          </w:p>
          <w:p>
            <w:pPr>
              <w:spacing w:beforeLines="50" w:afterLines="50" w:line="320" w:lineRule="exact"/>
              <w:ind w:firstLine="480" w:firstLineChars="200"/>
              <w:rPr>
                <w:rFonts w:hAnsi="宋体"/>
                <w:lang w:eastAsia="zh-CN"/>
              </w:rPr>
            </w:pPr>
            <w:r>
              <w:rPr>
                <w:rFonts w:hAnsi="宋体"/>
                <w:lang w:eastAsia="zh-CN"/>
              </w:rPr>
              <w:t>产品名称：四代服务亭，</w:t>
            </w:r>
          </w:p>
          <w:p>
            <w:pPr>
              <w:spacing w:beforeLines="50" w:afterLines="50" w:line="320" w:lineRule="exact"/>
              <w:ind w:firstLine="480" w:firstLineChars="200"/>
              <w:rPr>
                <w:rFonts w:hAnsi="宋体"/>
                <w:lang w:eastAsia="zh-CN"/>
              </w:rPr>
            </w:pPr>
            <w:r>
              <w:rPr>
                <w:rFonts w:hAnsi="宋体"/>
                <w:lang w:eastAsia="zh-CN"/>
              </w:rPr>
              <w:t>在生产焊接过程中，对产品的尺寸、表面无刺伤、无假焊、无漏焊、外观等项进行了检验</w:t>
            </w:r>
          </w:p>
          <w:p>
            <w:pPr>
              <w:spacing w:beforeLines="50" w:afterLines="50" w:line="320" w:lineRule="exact"/>
              <w:ind w:firstLine="480" w:firstLineChars="200"/>
              <w:rPr>
                <w:rFonts w:hAnsi="宋体"/>
                <w:lang w:eastAsia="zh-CN"/>
              </w:rPr>
            </w:pPr>
            <w:r>
              <w:rPr>
                <w:rFonts w:hAnsi="宋体"/>
                <w:lang w:eastAsia="zh-CN"/>
              </w:rPr>
              <w:t>检验结果：合格</w:t>
            </w:r>
            <w:r>
              <w:rPr>
                <w:rFonts w:hint="eastAsia" w:hAnsi="宋体"/>
                <w:lang w:eastAsia="zh-CN"/>
              </w:rPr>
              <w:t xml:space="preserve">     </w:t>
            </w:r>
            <w:r>
              <w:rPr>
                <w:rFonts w:hAnsi="宋体"/>
                <w:lang w:eastAsia="zh-CN"/>
              </w:rPr>
              <w:t>检验员：刘红霞。</w:t>
            </w:r>
          </w:p>
          <w:p>
            <w:pPr>
              <w:rPr>
                <w:rFonts w:ascii="Times New Roman" w:hAnsi="Times New Roman"/>
                <w:snapToGrid w:val="0"/>
                <w:color w:val="000000"/>
                <w:w w:val="0"/>
                <w:sz w:val="0"/>
                <w:szCs w:val="0"/>
                <w:u w:color="000000"/>
                <w:shd w:val="clear" w:color="000000" w:fill="000000"/>
                <w:lang w:eastAsia="zh-CN"/>
              </w:rPr>
            </w:pPr>
            <w:r>
              <w:rPr>
                <w:lang w:eastAsia="zh-CN" w:bidi="ar-SA"/>
              </w:rPr>
              <w:drawing>
                <wp:inline distT="0" distB="0" distL="0" distR="0">
                  <wp:extent cx="1779905" cy="2400300"/>
                  <wp:effectExtent l="19050" t="0" r="0" b="0"/>
                  <wp:docPr id="5" name="图片 143" descr="C:\Users\ADMINI~1.USE\AppData\Local\Temp\1617093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3" descr="C:\Users\ADMINI~1.USE\AppData\Local\Temp\1617093940(1).png"/>
                          <pic:cNvPicPr>
                            <a:picLocks noChangeAspect="1" noChangeArrowheads="1"/>
                          </pic:cNvPicPr>
                        </pic:nvPicPr>
                        <pic:blipFill>
                          <a:blip r:embed="rId15"/>
                          <a:srcRect/>
                          <a:stretch>
                            <a:fillRect/>
                          </a:stretch>
                        </pic:blipFill>
                        <pic:spPr>
                          <a:xfrm>
                            <a:off x="0" y="0"/>
                            <a:ext cx="1780442" cy="2400300"/>
                          </a:xfrm>
                          <a:prstGeom prst="rect">
                            <a:avLst/>
                          </a:prstGeom>
                          <a:noFill/>
                          <a:ln w="9525">
                            <a:noFill/>
                            <a:miter lim="800000"/>
                            <a:headEnd/>
                            <a:tailEnd/>
                          </a:ln>
                        </pic:spPr>
                      </pic:pic>
                    </a:graphicData>
                  </a:graphic>
                </wp:inline>
              </w:drawing>
            </w:r>
            <w:r>
              <w:rPr>
                <w:rFonts w:ascii="Times New Roman" w:hAnsi="Times New Roman" w:eastAsia="Times New Roman"/>
                <w:snapToGrid w:val="0"/>
                <w:color w:val="000000"/>
                <w:w w:val="0"/>
                <w:sz w:val="0"/>
                <w:szCs w:val="0"/>
                <w:u w:color="000000"/>
                <w:shd w:val="clear" w:color="000000" w:fill="000000"/>
              </w:rPr>
              <w:t xml:space="preserve"> </w:t>
            </w:r>
            <w:r>
              <w:rPr>
                <w:lang w:eastAsia="zh-CN" w:bidi="ar-SA"/>
              </w:rPr>
              <w:drawing>
                <wp:inline distT="0" distB="0" distL="0" distR="0">
                  <wp:extent cx="1835150" cy="2409825"/>
                  <wp:effectExtent l="19050" t="0" r="0" b="0"/>
                  <wp:docPr id="144" name="图片 144" descr="C:\Users\ADMINI~1.USE\AppData\Local\Temp\1617094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C:\Users\ADMINI~1.USE\AppData\Local\Temp\1617094010(1).png"/>
                          <pic:cNvPicPr>
                            <a:picLocks noChangeAspect="1" noChangeArrowheads="1"/>
                          </pic:cNvPicPr>
                        </pic:nvPicPr>
                        <pic:blipFill>
                          <a:blip r:embed="rId16"/>
                          <a:srcRect/>
                          <a:stretch>
                            <a:fillRect/>
                          </a:stretch>
                        </pic:blipFill>
                        <pic:spPr>
                          <a:xfrm>
                            <a:off x="0" y="0"/>
                            <a:ext cx="1838892" cy="2414301"/>
                          </a:xfrm>
                          <a:prstGeom prst="rect">
                            <a:avLst/>
                          </a:prstGeom>
                          <a:noFill/>
                          <a:ln w="9525">
                            <a:noFill/>
                            <a:miter lim="800000"/>
                            <a:headEnd/>
                            <a:tailEnd/>
                          </a:ln>
                        </pic:spPr>
                      </pic:pic>
                    </a:graphicData>
                  </a:graphic>
                </wp:inline>
              </w:drawing>
            </w:r>
          </w:p>
          <w:p>
            <w:pPr>
              <w:spacing w:beforeLines="50" w:afterLines="50" w:line="320" w:lineRule="exact"/>
              <w:ind w:firstLine="120" w:firstLineChars="50"/>
              <w:rPr>
                <w:rFonts w:hAnsi="宋体"/>
                <w:lang w:eastAsia="zh-CN"/>
              </w:rPr>
            </w:pPr>
            <w:r>
              <w:rPr>
                <w:rFonts w:hAnsi="宋体"/>
                <w:lang w:eastAsia="zh-CN"/>
              </w:rPr>
              <w:t>（三）成品检验：检验依据产品检验规范、图纸、企业标准等，检验项目符合要求。</w:t>
            </w:r>
          </w:p>
          <w:p>
            <w:pPr>
              <w:spacing w:beforeLines="50" w:afterLines="50" w:line="320" w:lineRule="exact"/>
              <w:ind w:firstLine="480" w:firstLineChars="200"/>
              <w:rPr>
                <w:rFonts w:hAnsi="宋体"/>
                <w:lang w:eastAsia="zh-CN"/>
              </w:rPr>
            </w:pPr>
            <w:r>
              <w:rPr>
                <w:rFonts w:hAnsi="宋体"/>
                <w:lang w:eastAsia="zh-CN"/>
              </w:rPr>
              <w:t>提供成品出厂检验单，</w:t>
            </w:r>
          </w:p>
          <w:p>
            <w:pPr>
              <w:spacing w:beforeLines="50" w:afterLines="50" w:line="320" w:lineRule="exact"/>
              <w:ind w:firstLine="480" w:firstLineChars="200"/>
              <w:rPr>
                <w:rFonts w:hAnsi="宋体"/>
                <w:lang w:eastAsia="zh-CN"/>
              </w:rPr>
            </w:pPr>
            <w:r>
              <w:rPr>
                <w:rFonts w:hAnsi="宋体"/>
                <w:lang w:eastAsia="zh-CN"/>
              </w:rPr>
              <w:t>抽查:20</w:t>
            </w:r>
            <w:r>
              <w:rPr>
                <w:rFonts w:hint="eastAsia" w:hAnsi="宋体"/>
                <w:lang w:eastAsia="zh-CN"/>
              </w:rPr>
              <w:t>20</w:t>
            </w:r>
            <w:r>
              <w:rPr>
                <w:rFonts w:hAnsi="宋体"/>
                <w:lang w:eastAsia="zh-CN"/>
              </w:rPr>
              <w:t>年</w:t>
            </w:r>
            <w:r>
              <w:rPr>
                <w:rFonts w:hint="eastAsia" w:hAnsi="宋体"/>
                <w:lang w:eastAsia="zh-CN"/>
              </w:rPr>
              <w:t>8</w:t>
            </w:r>
            <w:r>
              <w:rPr>
                <w:rFonts w:hAnsi="宋体"/>
                <w:lang w:eastAsia="zh-CN"/>
              </w:rPr>
              <w:t>月</w:t>
            </w:r>
            <w:r>
              <w:rPr>
                <w:rFonts w:hint="eastAsia" w:hAnsi="宋体"/>
                <w:lang w:eastAsia="zh-CN"/>
              </w:rPr>
              <w:t>25</w:t>
            </w:r>
            <w:r>
              <w:rPr>
                <w:rFonts w:hAnsi="宋体"/>
                <w:lang w:eastAsia="zh-CN"/>
              </w:rPr>
              <w:t>日出库检验报表，</w:t>
            </w:r>
          </w:p>
          <w:p>
            <w:pPr>
              <w:spacing w:beforeLines="50" w:afterLines="50" w:line="320" w:lineRule="exact"/>
              <w:ind w:firstLine="480" w:firstLineChars="200"/>
              <w:rPr>
                <w:rFonts w:hAnsi="宋体"/>
                <w:lang w:eastAsia="zh-CN"/>
              </w:rPr>
            </w:pPr>
            <w:r>
              <w:rPr>
                <w:rFonts w:hAnsi="宋体"/>
                <w:lang w:eastAsia="zh-CN"/>
              </w:rPr>
              <w:t>产品名称：杭州服务亭，</w:t>
            </w:r>
          </w:p>
          <w:p>
            <w:pPr>
              <w:spacing w:beforeLines="50" w:afterLines="50" w:line="320" w:lineRule="exact"/>
              <w:ind w:firstLine="480" w:firstLineChars="200"/>
              <w:rPr>
                <w:rFonts w:hAnsi="宋体"/>
                <w:lang w:eastAsia="zh-CN"/>
              </w:rPr>
            </w:pPr>
            <w:r>
              <w:rPr>
                <w:rFonts w:hAnsi="宋体"/>
                <w:lang w:eastAsia="zh-CN"/>
              </w:rPr>
              <w:t>数量</w:t>
            </w:r>
            <w:r>
              <w:rPr>
                <w:rFonts w:hint="eastAsia" w:hAnsi="宋体"/>
                <w:lang w:eastAsia="zh-CN"/>
              </w:rPr>
              <w:t>1</w:t>
            </w:r>
            <w:r>
              <w:rPr>
                <w:rFonts w:hAnsi="宋体"/>
                <w:lang w:eastAsia="zh-CN"/>
              </w:rPr>
              <w:t>个，检验项目：主要外观、颜色、尺寸、焊接、装配效果、安装效果、涂层、电器性能、配件等项，</w:t>
            </w:r>
          </w:p>
          <w:p>
            <w:pPr>
              <w:spacing w:beforeLines="50" w:afterLines="50" w:line="320" w:lineRule="exact"/>
              <w:ind w:firstLine="480" w:firstLineChars="200"/>
              <w:rPr>
                <w:rFonts w:hAnsi="宋体"/>
                <w:lang w:eastAsia="zh-CN"/>
              </w:rPr>
            </w:pPr>
            <w:r>
              <w:rPr>
                <w:rFonts w:hAnsi="宋体"/>
                <w:lang w:eastAsia="zh-CN"/>
              </w:rPr>
              <w:t>检验结论：合格</w:t>
            </w:r>
            <w:r>
              <w:rPr>
                <w:rFonts w:hint="eastAsia" w:hAnsi="宋体"/>
                <w:lang w:eastAsia="zh-CN"/>
              </w:rPr>
              <w:t xml:space="preserve">     </w:t>
            </w:r>
            <w:r>
              <w:rPr>
                <w:rFonts w:hAnsi="宋体"/>
                <w:lang w:eastAsia="zh-CN"/>
              </w:rPr>
              <w:t>检验员：吴小婷。</w:t>
            </w:r>
          </w:p>
          <w:p>
            <w:pPr>
              <w:spacing w:beforeLines="50" w:afterLines="50" w:line="320" w:lineRule="exact"/>
              <w:ind w:firstLine="480" w:firstLineChars="200"/>
              <w:rPr>
                <w:rFonts w:hAnsi="宋体"/>
                <w:lang w:eastAsia="zh-CN"/>
              </w:rPr>
            </w:pPr>
            <w:r>
              <w:rPr>
                <w:rFonts w:hAnsi="宋体"/>
                <w:lang w:eastAsia="zh-CN"/>
              </w:rPr>
              <w:t>抽查:20</w:t>
            </w:r>
            <w:r>
              <w:rPr>
                <w:rFonts w:hint="eastAsia" w:hAnsi="宋体"/>
                <w:lang w:eastAsia="zh-CN"/>
              </w:rPr>
              <w:t>20</w:t>
            </w:r>
            <w:r>
              <w:rPr>
                <w:rFonts w:hAnsi="宋体"/>
                <w:lang w:eastAsia="zh-CN"/>
              </w:rPr>
              <w:t>年</w:t>
            </w:r>
            <w:r>
              <w:rPr>
                <w:rFonts w:hint="eastAsia" w:hAnsi="宋体"/>
                <w:lang w:eastAsia="zh-CN"/>
              </w:rPr>
              <w:t>10</w:t>
            </w:r>
            <w:r>
              <w:rPr>
                <w:rFonts w:hAnsi="宋体"/>
                <w:lang w:eastAsia="zh-CN"/>
              </w:rPr>
              <w:t>月</w:t>
            </w:r>
            <w:r>
              <w:rPr>
                <w:rFonts w:hint="eastAsia" w:hAnsi="宋体"/>
                <w:lang w:eastAsia="zh-CN"/>
              </w:rPr>
              <w:t>28</w:t>
            </w:r>
            <w:r>
              <w:rPr>
                <w:rFonts w:hAnsi="宋体"/>
                <w:lang w:eastAsia="zh-CN"/>
              </w:rPr>
              <w:t>日出厂检验报表，</w:t>
            </w:r>
          </w:p>
          <w:p>
            <w:pPr>
              <w:spacing w:beforeLines="50" w:afterLines="50" w:line="320" w:lineRule="exact"/>
              <w:ind w:firstLine="480" w:firstLineChars="200"/>
              <w:rPr>
                <w:rFonts w:hAnsi="宋体"/>
                <w:lang w:eastAsia="zh-CN"/>
              </w:rPr>
            </w:pPr>
            <w:r>
              <w:rPr>
                <w:rFonts w:hAnsi="宋体"/>
                <w:lang w:eastAsia="zh-CN"/>
              </w:rPr>
              <w:t>产品名称：驿站牌，</w:t>
            </w:r>
          </w:p>
          <w:p>
            <w:pPr>
              <w:spacing w:beforeLines="50" w:afterLines="50" w:line="320" w:lineRule="exact"/>
              <w:ind w:firstLine="480" w:firstLineChars="200"/>
              <w:rPr>
                <w:rFonts w:hAnsi="宋体"/>
                <w:lang w:eastAsia="zh-CN"/>
              </w:rPr>
            </w:pPr>
            <w:r>
              <w:rPr>
                <w:rFonts w:hAnsi="宋体"/>
                <w:lang w:eastAsia="zh-CN"/>
              </w:rPr>
              <w:t>数量</w:t>
            </w:r>
            <w:r>
              <w:rPr>
                <w:rFonts w:hint="eastAsia" w:hAnsi="宋体"/>
                <w:lang w:eastAsia="zh-CN"/>
              </w:rPr>
              <w:t>30PCS</w:t>
            </w:r>
            <w:r>
              <w:rPr>
                <w:rFonts w:hAnsi="宋体"/>
                <w:lang w:eastAsia="zh-CN"/>
              </w:rPr>
              <w:t>，检验项目：主要外观、颜色、尺寸、焊接、装配效果、安装效果、涂层、电器性能、配件等项，</w:t>
            </w:r>
          </w:p>
          <w:p>
            <w:pPr>
              <w:spacing w:beforeLines="50" w:afterLines="50" w:line="320" w:lineRule="exact"/>
              <w:ind w:firstLine="480" w:firstLineChars="200"/>
              <w:rPr>
                <w:rFonts w:hAnsi="宋体"/>
                <w:lang w:eastAsia="zh-CN"/>
              </w:rPr>
            </w:pPr>
            <w:r>
              <w:rPr>
                <w:rFonts w:hAnsi="宋体"/>
                <w:lang w:eastAsia="zh-CN"/>
              </w:rPr>
              <w:t>检验结论：合格</w:t>
            </w:r>
            <w:r>
              <w:rPr>
                <w:rFonts w:hint="eastAsia" w:hAnsi="宋体"/>
                <w:lang w:eastAsia="zh-CN"/>
              </w:rPr>
              <w:t xml:space="preserve">   </w:t>
            </w:r>
            <w:r>
              <w:rPr>
                <w:rFonts w:hAnsi="宋体"/>
                <w:lang w:eastAsia="zh-CN"/>
              </w:rPr>
              <w:t>检验员：吴小婷。</w:t>
            </w:r>
          </w:p>
          <w:p>
            <w:pPr>
              <w:spacing w:beforeLines="50" w:afterLines="50" w:line="320" w:lineRule="exact"/>
              <w:ind w:firstLine="480" w:firstLineChars="200"/>
              <w:rPr>
                <w:rFonts w:hAnsi="宋体"/>
                <w:lang w:eastAsia="zh-CN"/>
              </w:rPr>
            </w:pPr>
            <w:r>
              <w:rPr>
                <w:rFonts w:hAnsi="宋体"/>
                <w:lang w:eastAsia="zh-CN"/>
              </w:rPr>
              <w:t>抽查:20</w:t>
            </w:r>
            <w:r>
              <w:rPr>
                <w:rFonts w:hint="eastAsia" w:hAnsi="宋体"/>
                <w:lang w:eastAsia="zh-CN"/>
              </w:rPr>
              <w:t>20</w:t>
            </w:r>
            <w:r>
              <w:rPr>
                <w:rFonts w:hAnsi="宋体"/>
                <w:lang w:eastAsia="zh-CN"/>
              </w:rPr>
              <w:t>年</w:t>
            </w:r>
            <w:r>
              <w:rPr>
                <w:rFonts w:hint="eastAsia" w:hAnsi="宋体"/>
                <w:lang w:eastAsia="zh-CN"/>
              </w:rPr>
              <w:t>12</w:t>
            </w:r>
            <w:r>
              <w:rPr>
                <w:rFonts w:hAnsi="宋体"/>
                <w:lang w:eastAsia="zh-CN"/>
              </w:rPr>
              <w:t>月</w:t>
            </w:r>
            <w:r>
              <w:rPr>
                <w:rFonts w:hint="eastAsia" w:hAnsi="宋体"/>
                <w:lang w:eastAsia="zh-CN"/>
              </w:rPr>
              <w:t>15</w:t>
            </w:r>
            <w:r>
              <w:rPr>
                <w:rFonts w:hAnsi="宋体"/>
                <w:lang w:eastAsia="zh-CN"/>
              </w:rPr>
              <w:t>日成品检验记录，</w:t>
            </w:r>
          </w:p>
          <w:p>
            <w:pPr>
              <w:spacing w:beforeLines="50" w:afterLines="50" w:line="320" w:lineRule="exact"/>
              <w:ind w:firstLine="480" w:firstLineChars="200"/>
              <w:rPr>
                <w:rFonts w:hAnsi="宋体"/>
                <w:lang w:eastAsia="zh-CN"/>
              </w:rPr>
            </w:pPr>
            <w:r>
              <w:rPr>
                <w:rFonts w:hAnsi="宋体"/>
                <w:lang w:eastAsia="zh-CN"/>
              </w:rPr>
              <w:t>产品名称：三明候车亭，</w:t>
            </w:r>
          </w:p>
          <w:p>
            <w:pPr>
              <w:spacing w:beforeLines="50" w:afterLines="50" w:line="320" w:lineRule="exact"/>
              <w:ind w:firstLine="480" w:firstLineChars="200"/>
              <w:rPr>
                <w:rFonts w:hAnsi="宋体"/>
                <w:lang w:eastAsia="zh-CN"/>
              </w:rPr>
            </w:pPr>
            <w:r>
              <w:rPr>
                <w:rFonts w:hAnsi="宋体"/>
                <w:lang w:eastAsia="zh-CN"/>
              </w:rPr>
              <w:t>数量</w:t>
            </w:r>
            <w:r>
              <w:rPr>
                <w:rFonts w:hint="eastAsia" w:hAnsi="宋体"/>
                <w:lang w:eastAsia="zh-CN"/>
              </w:rPr>
              <w:t>4</w:t>
            </w:r>
            <w:r>
              <w:rPr>
                <w:rFonts w:hAnsi="宋体"/>
                <w:lang w:eastAsia="zh-CN"/>
              </w:rPr>
              <w:t>个，检验项目：主要外观、颜色、尺寸、焊接、装配效果、安装效果、涂层、电器性能、配件等项，</w:t>
            </w:r>
          </w:p>
          <w:p>
            <w:pPr>
              <w:spacing w:beforeLines="50" w:afterLines="50" w:line="320" w:lineRule="exact"/>
              <w:ind w:firstLine="480" w:firstLineChars="200"/>
              <w:rPr>
                <w:rFonts w:hAnsi="宋体"/>
                <w:lang w:eastAsia="zh-CN"/>
              </w:rPr>
            </w:pPr>
            <w:r>
              <w:rPr>
                <w:rFonts w:hAnsi="宋体"/>
                <w:lang w:eastAsia="zh-CN"/>
              </w:rPr>
              <w:t>检验结论：合格</w:t>
            </w:r>
            <w:r>
              <w:rPr>
                <w:rFonts w:hint="eastAsia" w:hAnsi="宋体"/>
                <w:lang w:eastAsia="zh-CN"/>
              </w:rPr>
              <w:t xml:space="preserve">   </w:t>
            </w:r>
            <w:r>
              <w:rPr>
                <w:rFonts w:hAnsi="宋体"/>
                <w:lang w:eastAsia="zh-CN"/>
              </w:rPr>
              <w:t>检验员：吴小婷。</w:t>
            </w:r>
          </w:p>
          <w:p>
            <w:pPr>
              <w:tabs>
                <w:tab w:val="right" w:pos="9788"/>
              </w:tabs>
              <w:spacing w:beforeLines="50" w:afterLines="50" w:line="320" w:lineRule="exact"/>
              <w:rPr>
                <w:rFonts w:hAnsi="宋体"/>
                <w:lang w:eastAsia="zh-CN"/>
              </w:rPr>
            </w:pPr>
            <w:r>
              <w:rPr>
                <w:rFonts w:hAnsi="宋体"/>
                <w:lang w:eastAsia="zh-CN"/>
              </w:rPr>
              <w:t>(五)第三方检验：</w:t>
            </w:r>
            <w:r>
              <w:rPr>
                <w:rFonts w:hAnsi="宋体"/>
                <w:lang w:eastAsia="zh-CN"/>
              </w:rPr>
              <w:tab/>
            </w:r>
          </w:p>
          <w:p>
            <w:pPr>
              <w:spacing w:beforeLines="50" w:afterLines="50" w:line="320" w:lineRule="exact"/>
              <w:ind w:firstLine="480" w:firstLineChars="200"/>
              <w:rPr>
                <w:rFonts w:hAnsi="宋体"/>
                <w:lang w:eastAsia="zh-CN"/>
              </w:rPr>
            </w:pPr>
            <w:r>
              <w:rPr>
                <w:rFonts w:hAnsi="宋体"/>
                <w:lang w:eastAsia="zh-CN"/>
              </w:rPr>
              <w:t>提供深圳市倍测科技有限公司检测中心检验报告，20</w:t>
            </w:r>
            <w:r>
              <w:rPr>
                <w:rFonts w:hint="eastAsia" w:hAnsi="宋体"/>
                <w:lang w:eastAsia="zh-CN"/>
              </w:rPr>
              <w:t>20</w:t>
            </w:r>
            <w:r>
              <w:rPr>
                <w:rFonts w:hAnsi="宋体"/>
                <w:lang w:eastAsia="zh-CN"/>
              </w:rPr>
              <w:t>.</w:t>
            </w:r>
            <w:r>
              <w:rPr>
                <w:rFonts w:hint="eastAsia" w:hAnsi="宋体"/>
                <w:lang w:eastAsia="zh-CN"/>
              </w:rPr>
              <w:t>4</w:t>
            </w:r>
            <w:r>
              <w:rPr>
                <w:rFonts w:hAnsi="宋体"/>
                <w:lang w:eastAsia="zh-CN"/>
              </w:rPr>
              <w:t>.</w:t>
            </w:r>
            <w:r>
              <w:rPr>
                <w:rFonts w:hint="eastAsia" w:hAnsi="宋体"/>
                <w:lang w:eastAsia="zh-CN"/>
              </w:rPr>
              <w:t>30</w:t>
            </w:r>
            <w:r>
              <w:rPr>
                <w:rFonts w:hAnsi="宋体"/>
                <w:lang w:eastAsia="zh-CN"/>
              </w:rPr>
              <w:t>日对公司生产的公共自行车停车棚产品进行了检验，结果符合要求。见附件报告。</w:t>
            </w:r>
          </w:p>
          <w:p>
            <w:pPr>
              <w:spacing w:beforeLines="50" w:afterLines="50" w:line="320" w:lineRule="exact"/>
              <w:ind w:firstLine="480" w:firstLineChars="200"/>
              <w:rPr>
                <w:rFonts w:hAnsi="宋体"/>
                <w:lang w:eastAsia="zh-CN"/>
              </w:rPr>
            </w:pPr>
            <w:r>
              <w:rPr>
                <w:rFonts w:hAnsi="宋体"/>
                <w:lang w:eastAsia="zh-CN"/>
              </w:rPr>
              <w:t>提供深圳市倍测科技有限公司检测中心检验报告，20</w:t>
            </w:r>
            <w:r>
              <w:rPr>
                <w:rFonts w:hint="eastAsia" w:hAnsi="宋体"/>
                <w:lang w:eastAsia="zh-CN"/>
              </w:rPr>
              <w:t>20</w:t>
            </w:r>
            <w:r>
              <w:rPr>
                <w:rFonts w:hAnsi="宋体"/>
                <w:lang w:eastAsia="zh-CN"/>
              </w:rPr>
              <w:t>.</w:t>
            </w:r>
            <w:r>
              <w:rPr>
                <w:rFonts w:hint="eastAsia" w:hAnsi="宋体"/>
                <w:lang w:eastAsia="zh-CN"/>
              </w:rPr>
              <w:t>5</w:t>
            </w:r>
            <w:r>
              <w:rPr>
                <w:rFonts w:hAnsi="宋体"/>
                <w:lang w:eastAsia="zh-CN"/>
              </w:rPr>
              <w:t>.</w:t>
            </w:r>
            <w:r>
              <w:rPr>
                <w:rFonts w:hint="eastAsia" w:hAnsi="宋体"/>
                <w:lang w:eastAsia="zh-CN"/>
              </w:rPr>
              <w:t>12</w:t>
            </w:r>
            <w:r>
              <w:rPr>
                <w:rFonts w:hAnsi="宋体"/>
                <w:lang w:eastAsia="zh-CN"/>
              </w:rPr>
              <w:t>日对公司生产的治安岗亭产品产品进行了检验，结果符合要求。见附件报告。</w:t>
            </w:r>
          </w:p>
          <w:p>
            <w:pPr>
              <w:spacing w:beforeLines="50" w:afterLines="50" w:line="320" w:lineRule="exact"/>
              <w:ind w:firstLine="480" w:firstLineChars="200"/>
              <w:rPr>
                <w:rFonts w:hAnsi="宋体"/>
                <w:lang w:eastAsia="zh-CN"/>
              </w:rPr>
            </w:pPr>
            <w:r>
              <w:rPr>
                <w:rFonts w:hAnsi="宋体"/>
                <w:lang w:eastAsia="zh-CN"/>
              </w:rPr>
              <w:t>通过上述记录了解到，组织对产品实现的各过程进行了有效的监视测量，产品必须经检验合格才能交付，确保能满足顾客对产品的质量要求。</w:t>
            </w:r>
          </w:p>
          <w:p>
            <w:pPr>
              <w:spacing w:beforeLines="50" w:afterLines="50" w:line="320" w:lineRule="exact"/>
              <w:ind w:firstLine="480" w:firstLineChars="200"/>
              <w:rPr>
                <w:rFonts w:hAnsi="宋体"/>
                <w:lang w:eastAsia="zh-CN"/>
              </w:rPr>
            </w:pPr>
            <w:r>
              <w:rPr>
                <w:rFonts w:hAnsi="宋体"/>
                <w:lang w:eastAsia="zh-CN"/>
              </w:rPr>
              <w:t>公司产品和销售服务的监视和测量控制基本符合规定要求。</w:t>
            </w:r>
          </w:p>
        </w:tc>
        <w:tc>
          <w:tcPr>
            <w:tcW w:w="1585" w:type="dxa"/>
          </w:tcPr>
          <w:p>
            <w:pP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093" w:type="dxa"/>
          </w:tcPr>
          <w:p>
            <w:r>
              <w:rPr>
                <w:rFonts w:hAnsi="宋体"/>
              </w:rPr>
              <w:t>不合格输出的控制</w:t>
            </w:r>
          </w:p>
          <w:p/>
        </w:tc>
        <w:tc>
          <w:tcPr>
            <w:tcW w:w="1027" w:type="dxa"/>
          </w:tcPr>
          <w:p>
            <w:r>
              <w:t>Q8.7</w:t>
            </w:r>
          </w:p>
        </w:tc>
        <w:tc>
          <w:tcPr>
            <w:tcW w:w="10004" w:type="dxa"/>
          </w:tcPr>
          <w:p>
            <w:pPr>
              <w:spacing w:beforeLines="50" w:afterLines="50" w:line="320" w:lineRule="exact"/>
              <w:ind w:firstLine="480" w:firstLineChars="200"/>
              <w:rPr>
                <w:rFonts w:hAnsi="宋体"/>
                <w:lang w:eastAsia="zh-CN"/>
              </w:rPr>
            </w:pPr>
            <w:r>
              <w:rPr>
                <w:rFonts w:hAnsi="宋体"/>
                <w:lang w:eastAsia="zh-CN"/>
              </w:rPr>
              <w:t>公司制定并执行了《不合格品控制程序》，文件对不合格品的识别、控制方法、职责权限作出了具体规定，基本符合标准要求。</w:t>
            </w:r>
          </w:p>
          <w:p>
            <w:pPr>
              <w:spacing w:beforeLines="50" w:afterLines="50" w:line="320" w:lineRule="exact"/>
              <w:ind w:firstLine="480" w:firstLineChars="200"/>
              <w:rPr>
                <w:rFonts w:hAnsi="宋体"/>
                <w:lang w:eastAsia="zh-CN"/>
              </w:rPr>
            </w:pPr>
            <w:r>
              <w:rPr>
                <w:rFonts w:hAnsi="宋体"/>
                <w:lang w:eastAsia="zh-CN"/>
              </w:rPr>
              <w:t>对采购不合格品实施拒收退货；对生产过程的不合格品实施报废、返修处理。</w:t>
            </w:r>
          </w:p>
          <w:p>
            <w:pPr>
              <w:spacing w:beforeLines="50" w:afterLines="50" w:line="320" w:lineRule="exact"/>
              <w:ind w:firstLine="480" w:firstLineChars="200"/>
              <w:rPr>
                <w:rFonts w:hAnsi="宋体"/>
                <w:lang w:eastAsia="zh-CN"/>
              </w:rPr>
            </w:pPr>
            <w:r>
              <w:rPr>
                <w:rFonts w:hAnsi="宋体"/>
                <w:lang w:eastAsia="zh-CN"/>
              </w:rPr>
              <w:t>查20</w:t>
            </w:r>
            <w:r>
              <w:rPr>
                <w:rFonts w:hint="eastAsia" w:hAnsi="宋体"/>
                <w:lang w:eastAsia="zh-CN"/>
              </w:rPr>
              <w:t>20</w:t>
            </w:r>
            <w:r>
              <w:rPr>
                <w:rFonts w:hAnsi="宋体"/>
                <w:lang w:eastAsia="zh-CN"/>
              </w:rPr>
              <w:t>年</w:t>
            </w:r>
            <w:r>
              <w:rPr>
                <w:rFonts w:hint="eastAsia" w:hAnsi="宋体"/>
                <w:lang w:eastAsia="zh-CN"/>
              </w:rPr>
              <w:t>11</w:t>
            </w:r>
            <w:r>
              <w:rPr>
                <w:rFonts w:hAnsi="宋体"/>
                <w:lang w:eastAsia="zh-CN"/>
              </w:rPr>
              <w:t>月</w:t>
            </w:r>
            <w:r>
              <w:rPr>
                <w:rFonts w:hint="eastAsia" w:hAnsi="宋体"/>
                <w:lang w:eastAsia="zh-CN"/>
              </w:rPr>
              <w:t>12</w:t>
            </w:r>
            <w:r>
              <w:rPr>
                <w:rFonts w:hAnsi="宋体"/>
                <w:lang w:eastAsia="zh-CN"/>
              </w:rPr>
              <w:t>日不合格处置单，客户：临海项目，不合格描述：白坡钢化玻璃来料</w:t>
            </w:r>
            <w:r>
              <w:rPr>
                <w:rFonts w:hint="eastAsia" w:hAnsi="宋体"/>
                <w:lang w:eastAsia="zh-CN"/>
              </w:rPr>
              <w:t>8PCS，有5PCS玻璃表面与胶残留，</w:t>
            </w:r>
            <w:r>
              <w:rPr>
                <w:rFonts w:hAnsi="宋体"/>
                <w:lang w:eastAsia="zh-CN"/>
              </w:rPr>
              <w:t>发出人：吴小婷，品质部处理意见：供应商返工，签名：张志卿。发出了纠正预防措施报告，供应商进行了原因分析及纠正预防。</w:t>
            </w:r>
            <w:r>
              <w:rPr>
                <w:rFonts w:hint="eastAsia" w:hAnsi="宋体"/>
                <w:lang w:eastAsia="zh-CN"/>
              </w:rPr>
              <w:t>2020年12月20日来料改善OK。验证人，张志卿</w:t>
            </w:r>
            <w:r>
              <w:rPr>
                <w:rFonts w:hAnsi="宋体"/>
                <w:lang w:eastAsia="zh-CN"/>
              </w:rPr>
              <w:t>。结案日期：</w:t>
            </w:r>
            <w:r>
              <w:rPr>
                <w:rFonts w:hint="eastAsia" w:hAnsi="宋体"/>
                <w:lang w:eastAsia="zh-CN"/>
              </w:rPr>
              <w:t>2020年12月20日。</w:t>
            </w:r>
          </w:p>
          <w:p>
            <w:r>
              <w:rPr>
                <w:lang w:eastAsia="zh-CN" w:bidi="ar-SA"/>
              </w:rPr>
              <w:drawing>
                <wp:inline distT="0" distB="0" distL="0" distR="0">
                  <wp:extent cx="1733550" cy="2348230"/>
                  <wp:effectExtent l="19050" t="0" r="0" b="0"/>
                  <wp:docPr id="2" name="图片 4" descr="C:\Users\ADMINI~1.USE\AppData\Local\Temp\16171618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Users\ADMINI~1.USE\AppData\Local\Temp\1617161852(1).png"/>
                          <pic:cNvPicPr>
                            <a:picLocks noChangeAspect="1" noChangeArrowheads="1"/>
                          </pic:cNvPicPr>
                        </pic:nvPicPr>
                        <pic:blipFill>
                          <a:blip r:embed="rId17"/>
                          <a:srcRect/>
                          <a:stretch>
                            <a:fillRect/>
                          </a:stretch>
                        </pic:blipFill>
                        <pic:spPr>
                          <a:xfrm>
                            <a:off x="0" y="0"/>
                            <a:ext cx="1733550" cy="2348253"/>
                          </a:xfrm>
                          <a:prstGeom prst="rect">
                            <a:avLst/>
                          </a:prstGeom>
                          <a:noFill/>
                          <a:ln w="9525">
                            <a:noFill/>
                            <a:miter lim="800000"/>
                            <a:headEnd/>
                            <a:tailEnd/>
                          </a:ln>
                        </pic:spPr>
                      </pic:pic>
                    </a:graphicData>
                  </a:graphic>
                </wp:inline>
              </w:drawing>
            </w:r>
            <w:r>
              <w:rPr>
                <w:lang w:eastAsia="zh-CN" w:bidi="ar-SA"/>
              </w:rPr>
              <w:drawing>
                <wp:inline distT="0" distB="0" distL="0" distR="0">
                  <wp:extent cx="1576705" cy="2257425"/>
                  <wp:effectExtent l="19050" t="0" r="3873" b="0"/>
                  <wp:docPr id="6" name="图片 3" descr="C:\Users\ADMINI~1.USE\AppData\Local\Temp\1617161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1.USE\AppData\Local\Temp\1617161817(1).png"/>
                          <pic:cNvPicPr>
                            <a:picLocks noChangeAspect="1" noChangeArrowheads="1"/>
                          </pic:cNvPicPr>
                        </pic:nvPicPr>
                        <pic:blipFill>
                          <a:blip r:embed="rId18"/>
                          <a:srcRect/>
                          <a:stretch>
                            <a:fillRect/>
                          </a:stretch>
                        </pic:blipFill>
                        <pic:spPr>
                          <a:xfrm>
                            <a:off x="0" y="0"/>
                            <a:ext cx="1577277" cy="2257425"/>
                          </a:xfrm>
                          <a:prstGeom prst="rect">
                            <a:avLst/>
                          </a:prstGeom>
                          <a:noFill/>
                          <a:ln w="9525">
                            <a:noFill/>
                            <a:miter lim="800000"/>
                            <a:headEnd/>
                            <a:tailEnd/>
                          </a:ln>
                        </pic:spPr>
                      </pic:pic>
                    </a:graphicData>
                  </a:graphic>
                </wp:inline>
              </w:drawing>
            </w:r>
          </w:p>
          <w:p>
            <w:pPr>
              <w:spacing w:beforeLines="50" w:afterLines="50" w:line="320" w:lineRule="exact"/>
              <w:ind w:firstLine="480" w:firstLineChars="200"/>
              <w:rPr>
                <w:rFonts w:hAnsi="宋体"/>
                <w:lang w:eastAsia="zh-CN"/>
              </w:rPr>
            </w:pPr>
            <w:r>
              <w:rPr>
                <w:rFonts w:hAnsi="宋体"/>
                <w:lang w:eastAsia="zh-CN"/>
              </w:rPr>
              <w:t>交付后产品未发现反馈不良情况，如有发生时采取换货的方式处理，组织不合格品控制基本有效。</w:t>
            </w:r>
          </w:p>
        </w:tc>
        <w:tc>
          <w:tcPr>
            <w:tcW w:w="1585" w:type="dxa"/>
          </w:tcPr>
          <w:p>
            <w:pPr>
              <w:rPr>
                <w:lang w:eastAsia="zh-CN"/>
              </w:rPr>
            </w:pPr>
            <w:r>
              <w:rPr>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93" w:type="dxa"/>
          </w:tcPr>
          <w:p>
            <w:pPr>
              <w:spacing w:line="360" w:lineRule="auto"/>
            </w:pPr>
            <w:r>
              <w:rPr>
                <w:rFonts w:hAnsiTheme="minorEastAsia"/>
                <w:bCs/>
              </w:rPr>
              <w:t>运行控制</w:t>
            </w:r>
          </w:p>
        </w:tc>
        <w:tc>
          <w:tcPr>
            <w:tcW w:w="1027" w:type="dxa"/>
          </w:tcPr>
          <w:p>
            <w:pPr>
              <w:spacing w:line="360" w:lineRule="auto"/>
            </w:pPr>
            <w:r>
              <w:t>EO8.1</w:t>
            </w:r>
          </w:p>
        </w:tc>
        <w:tc>
          <w:tcPr>
            <w:tcW w:w="10004" w:type="dxa"/>
          </w:tcPr>
          <w:p>
            <w:pPr>
              <w:pStyle w:val="18"/>
              <w:spacing w:beforeLines="30" w:beforeAutospacing="0" w:afterLines="30" w:afterAutospacing="0" w:line="300" w:lineRule="exact"/>
              <w:ind w:firstLine="480" w:firstLineChars="200"/>
              <w:rPr>
                <w:rFonts w:ascii="Times New Roman" w:cs="Times New Roman"/>
                <w:bCs/>
                <w:szCs w:val="24"/>
                <w:lang w:eastAsia="zh-CN"/>
              </w:rPr>
            </w:pPr>
            <w:r>
              <w:rPr>
                <w:rFonts w:ascii="Times New Roman" w:cs="Times New Roman"/>
                <w:bCs/>
                <w:szCs w:val="24"/>
                <w:lang w:eastAsia="zh-CN"/>
              </w:rPr>
              <w:t>保持并实施：《管理运行控制程序》、《节约用水管理规定》、《垃圾管理规定》、《固体废弃物管理》、《废气、污水管理》、《工作现场安全、卫生制度》、《办公用品管理规程》、《应急预案》等环境、职业健康安全控制程序和管理制度。</w:t>
            </w:r>
          </w:p>
          <w:p>
            <w:pPr>
              <w:pStyle w:val="18"/>
              <w:spacing w:beforeLines="30" w:beforeAutospacing="0" w:afterLines="30" w:afterAutospacing="0" w:line="300" w:lineRule="exact"/>
              <w:ind w:firstLine="480" w:firstLineChars="200"/>
              <w:rPr>
                <w:rFonts w:ascii="Times New Roman" w:cs="Times New Roman"/>
                <w:bCs/>
                <w:szCs w:val="24"/>
                <w:lang w:eastAsia="zh-CN"/>
              </w:rPr>
            </w:pPr>
            <w:r>
              <w:rPr>
                <w:rFonts w:ascii="Times New Roman" w:cs="Times New Roman"/>
                <w:bCs/>
                <w:szCs w:val="24"/>
                <w:lang w:eastAsia="zh-CN"/>
              </w:rPr>
              <w:t xml:space="preserve">日常通过加强及时关电脑、关灯，节约用纸、用电、办公用品节约资源能源。巡视办公室，无发现违章用电现象。无电池、灯管等危险固废存放统一。 </w:t>
            </w:r>
          </w:p>
          <w:p>
            <w:pPr>
              <w:pStyle w:val="18"/>
              <w:spacing w:beforeLines="30" w:beforeAutospacing="0" w:afterLines="30" w:afterAutospacing="0" w:line="300" w:lineRule="exact"/>
              <w:ind w:firstLine="480" w:firstLineChars="200"/>
              <w:rPr>
                <w:rFonts w:ascii="Times New Roman" w:cs="Times New Roman"/>
                <w:bCs/>
                <w:szCs w:val="24"/>
                <w:lang w:eastAsia="zh-CN"/>
              </w:rPr>
            </w:pPr>
            <w:r>
              <w:rPr>
                <w:rFonts w:ascii="Times New Roman" w:cs="Times New Roman"/>
                <w:bCs/>
                <w:szCs w:val="24"/>
                <w:lang w:eastAsia="zh-CN"/>
              </w:rPr>
              <w:t>品质办公室各安全警示标识规范、清楚。现场观察有关检验人员操作，满足操作规程的要求，各劳动防护用品配备齐全。</w:t>
            </w:r>
          </w:p>
          <w:p>
            <w:pPr>
              <w:pStyle w:val="18"/>
              <w:spacing w:beforeLines="30" w:beforeAutospacing="0" w:afterLines="30" w:afterAutospacing="0" w:line="300" w:lineRule="exact"/>
              <w:ind w:firstLine="480" w:firstLineChars="200"/>
              <w:rPr>
                <w:rFonts w:ascii="Times New Roman" w:cs="Times New Roman"/>
                <w:bCs/>
                <w:szCs w:val="24"/>
                <w:lang w:eastAsia="zh-CN"/>
              </w:rPr>
            </w:pPr>
            <w:r>
              <w:rPr>
                <w:rFonts w:ascii="Times New Roman" w:cs="Times New Roman"/>
                <w:bCs/>
                <w:szCs w:val="24"/>
                <w:lang w:eastAsia="zh-CN"/>
              </w:rPr>
              <w:t>检验项目主要是物理指标，主要用到</w:t>
            </w:r>
            <w:r>
              <w:rPr>
                <w:rFonts w:hint="eastAsia" w:ascii="Times New Roman" w:cs="Times New Roman"/>
                <w:bCs/>
                <w:szCs w:val="24"/>
                <w:lang w:eastAsia="zh-CN"/>
              </w:rPr>
              <w:t>：钢卷尺、涂镀层测厚仪、千分尺、游标卡尺</w:t>
            </w:r>
            <w:r>
              <w:rPr>
                <w:rFonts w:ascii="Times New Roman" w:cs="Times New Roman"/>
                <w:bCs/>
                <w:szCs w:val="24"/>
                <w:lang w:eastAsia="zh-CN"/>
              </w:rPr>
              <w:t>等，进行了校准。</w:t>
            </w:r>
          </w:p>
          <w:p>
            <w:pPr>
              <w:pStyle w:val="18"/>
              <w:spacing w:beforeLines="30" w:beforeAutospacing="0" w:afterLines="30" w:afterAutospacing="0" w:line="300" w:lineRule="exact"/>
              <w:ind w:firstLine="480" w:firstLineChars="200"/>
              <w:rPr>
                <w:rFonts w:ascii="Times New Roman" w:cs="Times New Roman"/>
                <w:bCs/>
                <w:szCs w:val="24"/>
                <w:lang w:eastAsia="zh-CN"/>
              </w:rPr>
            </w:pPr>
            <w:r>
              <w:rPr>
                <w:rFonts w:ascii="Times New Roman" w:cs="Times New Roman"/>
                <w:bCs/>
                <w:szCs w:val="24"/>
                <w:lang w:eastAsia="zh-CN"/>
              </w:rPr>
              <w:t>到车间检验时注意滑倒、碰伤、机械伤害、粉尘伤害、噪音伤害，遵守车间的环保和安全管理制度，禁止吸烟，穿戴口罩、手套等劳保用品。</w:t>
            </w:r>
          </w:p>
          <w:p>
            <w:pPr>
              <w:pStyle w:val="18"/>
              <w:spacing w:beforeLines="30" w:beforeAutospacing="0" w:afterLines="30" w:afterAutospacing="0" w:line="300" w:lineRule="exact"/>
              <w:ind w:firstLine="480" w:firstLineChars="200"/>
              <w:rPr>
                <w:szCs w:val="24"/>
                <w:lang w:eastAsia="zh-CN"/>
              </w:rPr>
            </w:pPr>
            <w:r>
              <w:rPr>
                <w:rFonts w:ascii="Times New Roman" w:cs="Times New Roman"/>
                <w:bCs/>
                <w:szCs w:val="24"/>
                <w:lang w:eastAsia="zh-CN"/>
              </w:rPr>
              <w:t>检验和办公现场用电安全、废弃物管理、安全防护等，均良好，未发现异常现象，运行控制基本有效。</w:t>
            </w:r>
          </w:p>
        </w:tc>
        <w:tc>
          <w:tcPr>
            <w:tcW w:w="1585" w:type="dxa"/>
          </w:tcPr>
          <w:p>
            <w:pPr>
              <w:rPr>
                <w:lang w:eastAsia="zh-CN"/>
              </w:rPr>
            </w:pPr>
            <w:r>
              <w:rPr>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093" w:type="dxa"/>
          </w:tcPr>
          <w:p>
            <w:pPr>
              <w:spacing w:line="360" w:lineRule="auto"/>
              <w:rPr>
                <w:rFonts w:hAnsiTheme="minorEastAsia"/>
                <w:bCs/>
              </w:rPr>
            </w:pPr>
            <w:r>
              <w:rPr>
                <w:rFonts w:hint="eastAsia" w:hAnsiTheme="minorEastAsia"/>
                <w:bCs/>
              </w:rPr>
              <w:t>应急准备和响应</w:t>
            </w:r>
          </w:p>
        </w:tc>
        <w:tc>
          <w:tcPr>
            <w:tcW w:w="1027" w:type="dxa"/>
          </w:tcPr>
          <w:p>
            <w:pPr>
              <w:spacing w:line="360" w:lineRule="auto"/>
            </w:pPr>
            <w:r>
              <w:t>EO</w:t>
            </w:r>
            <w:r>
              <w:rPr>
                <w:rFonts w:hint="eastAsia"/>
              </w:rPr>
              <w:t>8.2</w:t>
            </w:r>
          </w:p>
        </w:tc>
        <w:tc>
          <w:tcPr>
            <w:tcW w:w="10004" w:type="dxa"/>
          </w:tcPr>
          <w:p>
            <w:pPr>
              <w:spacing w:beforeLines="30" w:afterLines="30" w:line="288" w:lineRule="auto"/>
              <w:ind w:firstLine="480" w:firstLineChars="200"/>
              <w:rPr>
                <w:rFonts w:hAnsiTheme="minorEastAsia"/>
                <w:lang w:eastAsia="zh-CN"/>
              </w:rPr>
            </w:pPr>
            <w:r>
              <w:rPr>
                <w:rFonts w:hAnsiTheme="minorEastAsia"/>
                <w:lang w:eastAsia="zh-CN"/>
              </w:rPr>
              <w:t>品质部人员参与了生产部组织的火灾、触电等应急演练。见生产部审核记录单。</w:t>
            </w:r>
          </w:p>
        </w:tc>
        <w:tc>
          <w:tcPr>
            <w:tcW w:w="1585" w:type="dxa"/>
          </w:tcPr>
          <w:p>
            <w:pPr>
              <w:spacing w:line="360" w:lineRule="auto"/>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93" w:type="dxa"/>
            <w:vAlign w:val="center"/>
          </w:tcPr>
          <w:p>
            <w:pPr>
              <w:spacing w:line="360" w:lineRule="auto"/>
            </w:pPr>
            <w:r>
              <w:rPr>
                <w:rFonts w:hAnsiTheme="minorEastAsia"/>
              </w:rPr>
              <w:t>不合格和纠正措施</w:t>
            </w:r>
          </w:p>
        </w:tc>
        <w:tc>
          <w:tcPr>
            <w:tcW w:w="1027" w:type="dxa"/>
          </w:tcPr>
          <w:p>
            <w:pPr>
              <w:spacing w:line="360" w:lineRule="auto"/>
            </w:pPr>
            <w:r>
              <w:t>QEO10.2</w:t>
            </w:r>
          </w:p>
          <w:p>
            <w:pPr>
              <w:spacing w:line="360" w:lineRule="auto"/>
            </w:pPr>
          </w:p>
        </w:tc>
        <w:tc>
          <w:tcPr>
            <w:tcW w:w="10004" w:type="dxa"/>
          </w:tcPr>
          <w:p>
            <w:pPr>
              <w:pStyle w:val="18"/>
              <w:spacing w:beforeLines="30" w:beforeAutospacing="0" w:afterLines="30" w:afterAutospacing="0" w:line="300" w:lineRule="exact"/>
              <w:ind w:firstLine="480" w:firstLineChars="200"/>
              <w:rPr>
                <w:rFonts w:ascii="Times New Roman" w:cs="Times New Roman"/>
                <w:bCs/>
                <w:szCs w:val="24"/>
                <w:lang w:eastAsia="zh-CN"/>
              </w:rPr>
            </w:pPr>
            <w:r>
              <w:rPr>
                <w:rFonts w:ascii="Times New Roman" w:cs="Times New Roman"/>
                <w:bCs/>
                <w:szCs w:val="24"/>
                <w:lang w:eastAsia="zh-CN"/>
              </w:rPr>
              <w:t xml:space="preserve">保持实施《不符合、纠正和预防措施控制程序》、《事故调查处理控制程序》，对纠正预防措施识别、评审、验证，事故事件报告、调查、处理等作了规定，其内容符合组织实际及标准要求。 </w:t>
            </w:r>
          </w:p>
          <w:p>
            <w:pPr>
              <w:pStyle w:val="18"/>
              <w:spacing w:beforeLines="30" w:beforeAutospacing="0" w:afterLines="30" w:afterAutospacing="0" w:line="300" w:lineRule="exact"/>
              <w:ind w:firstLine="480" w:firstLineChars="200"/>
              <w:rPr>
                <w:rFonts w:ascii="Times New Roman" w:cs="Times New Roman"/>
                <w:bCs/>
                <w:szCs w:val="24"/>
                <w:lang w:eastAsia="zh-CN"/>
              </w:rPr>
            </w:pPr>
            <w:r>
              <w:rPr>
                <w:rFonts w:ascii="Times New Roman" w:cs="Times New Roman"/>
                <w:bCs/>
                <w:szCs w:val="24"/>
                <w:lang w:eastAsia="zh-CN"/>
              </w:rPr>
              <w:t>对内审中提出不合格项进行了原因分析,并制定、实施了纠正措施，并由内审员对所采取的纠正措施进行了验证，纠正措施有效，管理评审中发现的薄弱环节，分析了原因，采取了纠正措施（参见内审和管理评审审核记录）。</w:t>
            </w:r>
          </w:p>
          <w:p>
            <w:pPr>
              <w:pStyle w:val="18"/>
              <w:spacing w:beforeLines="30" w:beforeAutospacing="0" w:afterLines="30" w:afterAutospacing="0" w:line="300" w:lineRule="exact"/>
              <w:ind w:firstLine="480" w:firstLineChars="200"/>
              <w:rPr>
                <w:rFonts w:ascii="Times New Roman" w:cs="Times New Roman"/>
                <w:bCs/>
                <w:szCs w:val="24"/>
                <w:lang w:eastAsia="zh-CN"/>
              </w:rPr>
            </w:pPr>
            <w:r>
              <w:rPr>
                <w:rFonts w:ascii="Times New Roman" w:cs="Times New Roman"/>
                <w:bCs/>
                <w:szCs w:val="24"/>
                <w:lang w:eastAsia="zh-CN"/>
              </w:rPr>
              <w:t>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环境、职业健康安全事件和投诉处罚。</w:t>
            </w:r>
          </w:p>
          <w:p>
            <w:pPr>
              <w:pStyle w:val="18"/>
              <w:spacing w:beforeLines="30" w:beforeAutospacing="0" w:afterLines="30" w:afterAutospacing="0" w:line="300" w:lineRule="exact"/>
              <w:ind w:firstLine="480" w:firstLineChars="200"/>
              <w:rPr>
                <w:rFonts w:ascii="Times New Roman" w:cs="Times New Roman"/>
                <w:bCs/>
                <w:szCs w:val="24"/>
                <w:lang w:eastAsia="zh-CN"/>
              </w:rPr>
            </w:pPr>
            <w:r>
              <w:rPr>
                <w:rFonts w:ascii="Times New Roman" w:cs="Times New Roman"/>
                <w:bCs/>
                <w:szCs w:val="24"/>
                <w:lang w:eastAsia="zh-CN"/>
              </w:rPr>
              <w:t>企业不合格和纠正措施的管理符合标准规定要求。</w:t>
            </w:r>
          </w:p>
        </w:tc>
        <w:tc>
          <w:tcPr>
            <w:tcW w:w="1585" w:type="dxa"/>
          </w:tcPr>
          <w:p>
            <w:r>
              <w:t>符合</w:t>
            </w:r>
          </w:p>
        </w:tc>
      </w:tr>
    </w:tbl>
    <w:p>
      <w:pPr>
        <w:pStyle w:val="15"/>
      </w:pPr>
    </w:p>
    <w:p>
      <w:pPr>
        <w:pStyle w:val="15"/>
        <w:ind w:left="480"/>
      </w:pPr>
      <w:r>
        <w:rPr>
          <w:rFonts w:hint="eastAsia"/>
        </w:rPr>
        <w:t>说明：不符合标注N</w:t>
      </w:r>
    </w:p>
    <w:p>
      <w:pPr>
        <w:pStyle w:val="15"/>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00004FF" w:usb2="00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b/>
      </w:rPr>
      <w:fldChar w:fldCharType="begin"/>
    </w:r>
    <w:r>
      <w:rPr>
        <w:b/>
      </w:rPr>
      <w:instrText xml:space="preserve">PAGE</w:instrText>
    </w:r>
    <w:r>
      <w:rPr>
        <w:b/>
      </w:rPr>
      <w:fldChar w:fldCharType="separate"/>
    </w:r>
    <w:r>
      <w:rPr>
        <w:b/>
      </w:rPr>
      <w:t>18</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24</w:t>
    </w:r>
    <w:r>
      <w:rPr>
        <w:b/>
      </w:rP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left" w:pos="8910"/>
        <w:tab w:val="left" w:pos="9142"/>
        <w:tab w:val="clear" w:pos="4153"/>
      </w:tabs>
      <w:spacing w:line="320" w:lineRule="exact"/>
      <w:ind w:left="-98" w:leftChars="-41" w:firstLine="810" w:firstLineChars="450"/>
      <w:jc w:val="left"/>
      <w:rPr>
        <w:rStyle w:val="33"/>
      </w:rPr>
    </w:pPr>
    <w: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33"/>
        <w:rFonts w:hint="eastAsia"/>
      </w:rPr>
      <w:t>北京国标联合认证有限公司</w:t>
    </w:r>
    <w:r>
      <w:rPr>
        <w:rStyle w:val="33"/>
      </w:rPr>
      <w:tab/>
    </w:r>
    <w:r>
      <w:rPr>
        <w:rStyle w:val="33"/>
      </w:rPr>
      <w:tab/>
    </w:r>
    <w:r>
      <w:rPr>
        <w:rStyle w:val="33"/>
      </w:rPr>
      <w:tab/>
    </w:r>
  </w:p>
  <w:p>
    <w:pPr>
      <w:pStyle w:val="16"/>
      <w:pBdr>
        <w:bottom w:val="none" w:color="auto" w:sz="0" w:space="0"/>
      </w:pBdr>
      <w:spacing w:line="320" w:lineRule="exact"/>
      <w:jc w:val="left"/>
    </w:pPr>
    <w:r>
      <w:pict>
        <v:shape id="文本框 1" o:spid="_x0000_s4098" o:spt="202" type="#_x0000_t202" style="position:absolute;left:0pt;margin-left:554.75pt;margin-top:2.2pt;height:20.2pt;width:172pt;z-index:251657216;mso-width-relative:page;mso-height-relative:page;" stroked="f" coordsize="21600,21600">
          <v:path/>
          <v:fill focussize="0,0"/>
          <v:stroke on="f" joinstyle="miter"/>
          <v:imagedata o:title=""/>
          <o:lock v:ext="edit"/>
          <v:textbox>
            <w:txbxContent>
              <w:p>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33"/>
        <w:w w:val="90"/>
      </w:rPr>
      <w:t>Beijing International Standard united Certification Co.,Ltd.</w:t>
    </w:r>
  </w:p>
  <w:p>
    <w:pPr>
      <w:pStyle w:val="1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B25DE"/>
    <w:rsid w:val="000219B9"/>
    <w:rsid w:val="0003373A"/>
    <w:rsid w:val="00033C9F"/>
    <w:rsid w:val="000400E2"/>
    <w:rsid w:val="00044058"/>
    <w:rsid w:val="00046679"/>
    <w:rsid w:val="00053419"/>
    <w:rsid w:val="00055B50"/>
    <w:rsid w:val="00062369"/>
    <w:rsid w:val="00063A3B"/>
    <w:rsid w:val="00067C6F"/>
    <w:rsid w:val="000748D2"/>
    <w:rsid w:val="000759E0"/>
    <w:rsid w:val="00077A7D"/>
    <w:rsid w:val="00081787"/>
    <w:rsid w:val="00081926"/>
    <w:rsid w:val="000A39EB"/>
    <w:rsid w:val="000A4F12"/>
    <w:rsid w:val="000B51BD"/>
    <w:rsid w:val="000D2823"/>
    <w:rsid w:val="000D531C"/>
    <w:rsid w:val="000F0D61"/>
    <w:rsid w:val="000F0F7E"/>
    <w:rsid w:val="000F2F92"/>
    <w:rsid w:val="000F6A28"/>
    <w:rsid w:val="00131AC7"/>
    <w:rsid w:val="00133F48"/>
    <w:rsid w:val="00153815"/>
    <w:rsid w:val="00153BAF"/>
    <w:rsid w:val="00170B0D"/>
    <w:rsid w:val="00176E59"/>
    <w:rsid w:val="0017723E"/>
    <w:rsid w:val="0018223E"/>
    <w:rsid w:val="00193594"/>
    <w:rsid w:val="0019698C"/>
    <w:rsid w:val="001A0D03"/>
    <w:rsid w:val="001B25DE"/>
    <w:rsid w:val="001C6C63"/>
    <w:rsid w:val="001D45A7"/>
    <w:rsid w:val="001D52D6"/>
    <w:rsid w:val="001E155C"/>
    <w:rsid w:val="001E3047"/>
    <w:rsid w:val="001F1012"/>
    <w:rsid w:val="00202985"/>
    <w:rsid w:val="00204C69"/>
    <w:rsid w:val="0021644A"/>
    <w:rsid w:val="00225BAB"/>
    <w:rsid w:val="00243B9F"/>
    <w:rsid w:val="00250D0F"/>
    <w:rsid w:val="00251F7F"/>
    <w:rsid w:val="00273E21"/>
    <w:rsid w:val="002A159E"/>
    <w:rsid w:val="002A4508"/>
    <w:rsid w:val="002B33F0"/>
    <w:rsid w:val="002B6594"/>
    <w:rsid w:val="002D3565"/>
    <w:rsid w:val="00303300"/>
    <w:rsid w:val="00307499"/>
    <w:rsid w:val="00351198"/>
    <w:rsid w:val="00353935"/>
    <w:rsid w:val="00354550"/>
    <w:rsid w:val="00354BEE"/>
    <w:rsid w:val="0035687D"/>
    <w:rsid w:val="00387673"/>
    <w:rsid w:val="00390345"/>
    <w:rsid w:val="003D4EE6"/>
    <w:rsid w:val="003E08A5"/>
    <w:rsid w:val="003F49F0"/>
    <w:rsid w:val="00400E92"/>
    <w:rsid w:val="00416CB1"/>
    <w:rsid w:val="00423794"/>
    <w:rsid w:val="004241EE"/>
    <w:rsid w:val="0043219E"/>
    <w:rsid w:val="00433001"/>
    <w:rsid w:val="00435C09"/>
    <w:rsid w:val="00440E39"/>
    <w:rsid w:val="004473D0"/>
    <w:rsid w:val="004526F0"/>
    <w:rsid w:val="00466E9E"/>
    <w:rsid w:val="004801A0"/>
    <w:rsid w:val="004815EB"/>
    <w:rsid w:val="004952C1"/>
    <w:rsid w:val="004B6927"/>
    <w:rsid w:val="004C6812"/>
    <w:rsid w:val="004F443E"/>
    <w:rsid w:val="00512602"/>
    <w:rsid w:val="00530F23"/>
    <w:rsid w:val="00552571"/>
    <w:rsid w:val="005560EC"/>
    <w:rsid w:val="00557A0F"/>
    <w:rsid w:val="00560DB6"/>
    <w:rsid w:val="00561940"/>
    <w:rsid w:val="00567A42"/>
    <w:rsid w:val="005752A6"/>
    <w:rsid w:val="0058116C"/>
    <w:rsid w:val="005A1ED2"/>
    <w:rsid w:val="005A4889"/>
    <w:rsid w:val="005C20AE"/>
    <w:rsid w:val="005E018C"/>
    <w:rsid w:val="005E419D"/>
    <w:rsid w:val="005E7E15"/>
    <w:rsid w:val="00600C20"/>
    <w:rsid w:val="0060173A"/>
    <w:rsid w:val="00610CCF"/>
    <w:rsid w:val="00612BEC"/>
    <w:rsid w:val="00614C4D"/>
    <w:rsid w:val="00620D5E"/>
    <w:rsid w:val="006310F1"/>
    <w:rsid w:val="00640A39"/>
    <w:rsid w:val="00642256"/>
    <w:rsid w:val="006510E0"/>
    <w:rsid w:val="006743FE"/>
    <w:rsid w:val="00686842"/>
    <w:rsid w:val="00697127"/>
    <w:rsid w:val="006D59AD"/>
    <w:rsid w:val="006D6149"/>
    <w:rsid w:val="006F1DC2"/>
    <w:rsid w:val="00701B19"/>
    <w:rsid w:val="00703F6B"/>
    <w:rsid w:val="00712323"/>
    <w:rsid w:val="007438B3"/>
    <w:rsid w:val="0074390F"/>
    <w:rsid w:val="007453C8"/>
    <w:rsid w:val="007574CF"/>
    <w:rsid w:val="00760FB8"/>
    <w:rsid w:val="007620A1"/>
    <w:rsid w:val="007702BC"/>
    <w:rsid w:val="007757F3"/>
    <w:rsid w:val="00782426"/>
    <w:rsid w:val="00790B70"/>
    <w:rsid w:val="00793FFF"/>
    <w:rsid w:val="007B7F25"/>
    <w:rsid w:val="007C5E3B"/>
    <w:rsid w:val="007E1725"/>
    <w:rsid w:val="007F0444"/>
    <w:rsid w:val="00801158"/>
    <w:rsid w:val="00802116"/>
    <w:rsid w:val="00812FB7"/>
    <w:rsid w:val="00823D21"/>
    <w:rsid w:val="00824A66"/>
    <w:rsid w:val="00827780"/>
    <w:rsid w:val="008467DB"/>
    <w:rsid w:val="00847CA6"/>
    <w:rsid w:val="008535C3"/>
    <w:rsid w:val="00863941"/>
    <w:rsid w:val="0087523E"/>
    <w:rsid w:val="008769FA"/>
    <w:rsid w:val="008846D0"/>
    <w:rsid w:val="008973EE"/>
    <w:rsid w:val="008A3324"/>
    <w:rsid w:val="008A5298"/>
    <w:rsid w:val="008C1B99"/>
    <w:rsid w:val="008C6391"/>
    <w:rsid w:val="008D1CFE"/>
    <w:rsid w:val="008E6797"/>
    <w:rsid w:val="008F045B"/>
    <w:rsid w:val="009126E1"/>
    <w:rsid w:val="00914C10"/>
    <w:rsid w:val="0091775C"/>
    <w:rsid w:val="00951529"/>
    <w:rsid w:val="00953B0B"/>
    <w:rsid w:val="00957C5B"/>
    <w:rsid w:val="00981F19"/>
    <w:rsid w:val="00984A26"/>
    <w:rsid w:val="00992B54"/>
    <w:rsid w:val="009A06D2"/>
    <w:rsid w:val="009B4611"/>
    <w:rsid w:val="009B6ACD"/>
    <w:rsid w:val="009F416F"/>
    <w:rsid w:val="009F6343"/>
    <w:rsid w:val="00A011D3"/>
    <w:rsid w:val="00A14097"/>
    <w:rsid w:val="00A17BE0"/>
    <w:rsid w:val="00A25BB5"/>
    <w:rsid w:val="00A36D27"/>
    <w:rsid w:val="00A4365E"/>
    <w:rsid w:val="00A45D9E"/>
    <w:rsid w:val="00A55FDA"/>
    <w:rsid w:val="00A61C46"/>
    <w:rsid w:val="00A6299B"/>
    <w:rsid w:val="00A85752"/>
    <w:rsid w:val="00A91162"/>
    <w:rsid w:val="00AB0816"/>
    <w:rsid w:val="00AB3B8F"/>
    <w:rsid w:val="00AC43CE"/>
    <w:rsid w:val="00AC43D6"/>
    <w:rsid w:val="00AC685D"/>
    <w:rsid w:val="00AD3F65"/>
    <w:rsid w:val="00AF4316"/>
    <w:rsid w:val="00B02E01"/>
    <w:rsid w:val="00B06544"/>
    <w:rsid w:val="00B12A0D"/>
    <w:rsid w:val="00B13582"/>
    <w:rsid w:val="00B22E5A"/>
    <w:rsid w:val="00B3016F"/>
    <w:rsid w:val="00B30662"/>
    <w:rsid w:val="00B41FC2"/>
    <w:rsid w:val="00B45063"/>
    <w:rsid w:val="00B475ED"/>
    <w:rsid w:val="00B77922"/>
    <w:rsid w:val="00B8487A"/>
    <w:rsid w:val="00B933B7"/>
    <w:rsid w:val="00BB5AE7"/>
    <w:rsid w:val="00BC1671"/>
    <w:rsid w:val="00BC2159"/>
    <w:rsid w:val="00BE63F9"/>
    <w:rsid w:val="00BF047C"/>
    <w:rsid w:val="00BF55C1"/>
    <w:rsid w:val="00C0469F"/>
    <w:rsid w:val="00C0589B"/>
    <w:rsid w:val="00C07508"/>
    <w:rsid w:val="00C45AF3"/>
    <w:rsid w:val="00C51F68"/>
    <w:rsid w:val="00C53F8C"/>
    <w:rsid w:val="00C55007"/>
    <w:rsid w:val="00C66196"/>
    <w:rsid w:val="00C711BC"/>
    <w:rsid w:val="00C759BA"/>
    <w:rsid w:val="00C85C5F"/>
    <w:rsid w:val="00C9295A"/>
    <w:rsid w:val="00CB2F54"/>
    <w:rsid w:val="00CC03A8"/>
    <w:rsid w:val="00CC523E"/>
    <w:rsid w:val="00CC7965"/>
    <w:rsid w:val="00CF0432"/>
    <w:rsid w:val="00CF7283"/>
    <w:rsid w:val="00CF7501"/>
    <w:rsid w:val="00D018F8"/>
    <w:rsid w:val="00D0300F"/>
    <w:rsid w:val="00D05722"/>
    <w:rsid w:val="00D07304"/>
    <w:rsid w:val="00D1502A"/>
    <w:rsid w:val="00D23666"/>
    <w:rsid w:val="00D30776"/>
    <w:rsid w:val="00D37631"/>
    <w:rsid w:val="00D57A07"/>
    <w:rsid w:val="00D61AC0"/>
    <w:rsid w:val="00D7291B"/>
    <w:rsid w:val="00D97C9F"/>
    <w:rsid w:val="00DA547C"/>
    <w:rsid w:val="00DD047E"/>
    <w:rsid w:val="00DD35E1"/>
    <w:rsid w:val="00DD5D57"/>
    <w:rsid w:val="00E02963"/>
    <w:rsid w:val="00E057F8"/>
    <w:rsid w:val="00E17BD5"/>
    <w:rsid w:val="00E25A58"/>
    <w:rsid w:val="00E27414"/>
    <w:rsid w:val="00E34131"/>
    <w:rsid w:val="00E41084"/>
    <w:rsid w:val="00E6224C"/>
    <w:rsid w:val="00E67333"/>
    <w:rsid w:val="00E67F6B"/>
    <w:rsid w:val="00E7027E"/>
    <w:rsid w:val="00E83DA5"/>
    <w:rsid w:val="00E9127E"/>
    <w:rsid w:val="00E939D3"/>
    <w:rsid w:val="00E97B40"/>
    <w:rsid w:val="00EA6FEB"/>
    <w:rsid w:val="00EB7CDC"/>
    <w:rsid w:val="00EC08C4"/>
    <w:rsid w:val="00EC1FDD"/>
    <w:rsid w:val="00EC4201"/>
    <w:rsid w:val="00EE2282"/>
    <w:rsid w:val="00EE2A5C"/>
    <w:rsid w:val="00EF0710"/>
    <w:rsid w:val="00F00235"/>
    <w:rsid w:val="00F70A3E"/>
    <w:rsid w:val="00F74248"/>
    <w:rsid w:val="00F81AA1"/>
    <w:rsid w:val="00F84329"/>
    <w:rsid w:val="00F9511B"/>
    <w:rsid w:val="00F97461"/>
    <w:rsid w:val="00FA5413"/>
    <w:rsid w:val="00FA70AD"/>
    <w:rsid w:val="00FC0249"/>
    <w:rsid w:val="00FF3A70"/>
    <w:rsid w:val="00FF5E73"/>
    <w:rsid w:val="00FF762E"/>
    <w:rsid w:val="02B25972"/>
    <w:rsid w:val="05953C2C"/>
    <w:rsid w:val="08882643"/>
    <w:rsid w:val="092D2C65"/>
    <w:rsid w:val="0B4149D0"/>
    <w:rsid w:val="0CF768E8"/>
    <w:rsid w:val="0E771873"/>
    <w:rsid w:val="112A34A8"/>
    <w:rsid w:val="24325F76"/>
    <w:rsid w:val="25B67CFB"/>
    <w:rsid w:val="28BD04D3"/>
    <w:rsid w:val="29743A94"/>
    <w:rsid w:val="30634502"/>
    <w:rsid w:val="33F03035"/>
    <w:rsid w:val="346779CA"/>
    <w:rsid w:val="395F4198"/>
    <w:rsid w:val="3F076D0F"/>
    <w:rsid w:val="43227609"/>
    <w:rsid w:val="4C5A1B34"/>
    <w:rsid w:val="512E2841"/>
    <w:rsid w:val="56E47D49"/>
    <w:rsid w:val="5A3F49D2"/>
    <w:rsid w:val="5B792324"/>
    <w:rsid w:val="5D9205FF"/>
    <w:rsid w:val="64A73086"/>
    <w:rsid w:val="676F73E8"/>
    <w:rsid w:val="6E7265D2"/>
    <w:rsid w:val="74AB307B"/>
    <w:rsid w:val="78B926AC"/>
    <w:rsid w:val="7BE941A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ocked="1"/>
    <w:lsdException w:uiPriority="99" w:name="Closing"/>
    <w:lsdException w:uiPriority="99" w:name="Signature"/>
    <w:lsdException w:uiPriority="1" w:name="Default Paragraph Font"/>
    <w:lsdException w:qFormat="1" w:unhideWhenUsed="0" w:uiPriority="99" w:semiHidden="0" w:name="Body Text"/>
    <w:lsdException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name="Hyperlink"/>
    <w:lsdException w:uiPriority="99" w:name="FollowedHyperlink"/>
    <w:lsdException w:qFormat="1" w:unhideWhenUsed="0" w:uiPriority="22" w:semiHidden="0" w:name="Strong" w:locked="1"/>
    <w:lsdException w:qFormat="1" w:unhideWhenUsed="0" w:uiPriority="2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0" w:line="240" w:lineRule="auto"/>
    </w:pPr>
    <w:rPr>
      <w:rFonts w:cs="Times New Roman" w:asciiTheme="minorHAnsi" w:hAnsiTheme="minorHAnsi" w:eastAsiaTheme="minorEastAsia"/>
      <w:sz w:val="24"/>
      <w:szCs w:val="24"/>
      <w:lang w:val="en-US" w:eastAsia="en-US" w:bidi="en-US"/>
    </w:rPr>
  </w:style>
  <w:style w:type="paragraph" w:styleId="3">
    <w:name w:val="heading 1"/>
    <w:basedOn w:val="1"/>
    <w:next w:val="1"/>
    <w:link w:val="28"/>
    <w:qFormat/>
    <w:locked/>
    <w:uiPriority w:val="9"/>
    <w:pPr>
      <w:keepNext/>
      <w:spacing w:before="240" w:after="60"/>
      <w:outlineLvl w:val="0"/>
    </w:pPr>
    <w:rPr>
      <w:rFonts w:asciiTheme="majorHAnsi" w:hAnsiTheme="majorHAnsi" w:eastAsiaTheme="majorEastAsia"/>
      <w:b/>
      <w:bCs/>
      <w:kern w:val="32"/>
      <w:sz w:val="32"/>
      <w:szCs w:val="32"/>
    </w:rPr>
  </w:style>
  <w:style w:type="paragraph" w:styleId="4">
    <w:name w:val="heading 2"/>
    <w:basedOn w:val="1"/>
    <w:next w:val="1"/>
    <w:link w:val="27"/>
    <w:semiHidden/>
    <w:unhideWhenUsed/>
    <w:qFormat/>
    <w:locked/>
    <w:uiPriority w:val="9"/>
    <w:pPr>
      <w:keepNext/>
      <w:spacing w:before="240" w:after="60"/>
      <w:outlineLvl w:val="1"/>
    </w:pPr>
    <w:rPr>
      <w:rFonts w:asciiTheme="majorHAnsi" w:hAnsiTheme="majorHAnsi" w:eastAsiaTheme="majorEastAsia"/>
      <w:b/>
      <w:bCs/>
      <w:i/>
      <w:iCs/>
      <w:sz w:val="28"/>
      <w:szCs w:val="28"/>
    </w:rPr>
  </w:style>
  <w:style w:type="paragraph" w:styleId="5">
    <w:name w:val="heading 3"/>
    <w:basedOn w:val="1"/>
    <w:next w:val="1"/>
    <w:link w:val="29"/>
    <w:semiHidden/>
    <w:unhideWhenUsed/>
    <w:qFormat/>
    <w:locked/>
    <w:uiPriority w:val="9"/>
    <w:pPr>
      <w:keepNext/>
      <w:spacing w:before="240" w:after="60"/>
      <w:outlineLvl w:val="2"/>
    </w:pPr>
    <w:rPr>
      <w:rFonts w:asciiTheme="majorHAnsi" w:hAnsiTheme="majorHAnsi" w:eastAsiaTheme="majorEastAsia"/>
      <w:b/>
      <w:bCs/>
      <w:sz w:val="26"/>
      <w:szCs w:val="26"/>
    </w:rPr>
  </w:style>
  <w:style w:type="paragraph" w:styleId="6">
    <w:name w:val="heading 4"/>
    <w:basedOn w:val="1"/>
    <w:next w:val="1"/>
    <w:link w:val="42"/>
    <w:semiHidden/>
    <w:unhideWhenUsed/>
    <w:qFormat/>
    <w:locked/>
    <w:uiPriority w:val="9"/>
    <w:pPr>
      <w:keepNext/>
      <w:spacing w:before="240" w:after="60"/>
      <w:outlineLvl w:val="3"/>
    </w:pPr>
    <w:rPr>
      <w:b/>
      <w:bCs/>
      <w:sz w:val="28"/>
      <w:szCs w:val="28"/>
    </w:rPr>
  </w:style>
  <w:style w:type="paragraph" w:styleId="7">
    <w:name w:val="heading 5"/>
    <w:basedOn w:val="1"/>
    <w:next w:val="1"/>
    <w:link w:val="43"/>
    <w:semiHidden/>
    <w:unhideWhenUsed/>
    <w:qFormat/>
    <w:locked/>
    <w:uiPriority w:val="9"/>
    <w:pPr>
      <w:spacing w:before="240" w:after="60"/>
      <w:outlineLvl w:val="4"/>
    </w:pPr>
    <w:rPr>
      <w:b/>
      <w:bCs/>
      <w:i/>
      <w:iCs/>
      <w:sz w:val="26"/>
      <w:szCs w:val="26"/>
    </w:rPr>
  </w:style>
  <w:style w:type="paragraph" w:styleId="8">
    <w:name w:val="heading 6"/>
    <w:basedOn w:val="1"/>
    <w:next w:val="1"/>
    <w:link w:val="44"/>
    <w:semiHidden/>
    <w:unhideWhenUsed/>
    <w:qFormat/>
    <w:locked/>
    <w:uiPriority w:val="9"/>
    <w:pPr>
      <w:spacing w:before="240" w:after="60"/>
      <w:outlineLvl w:val="5"/>
    </w:pPr>
    <w:rPr>
      <w:b/>
      <w:bCs/>
      <w:sz w:val="22"/>
      <w:szCs w:val="22"/>
    </w:rPr>
  </w:style>
  <w:style w:type="paragraph" w:styleId="9">
    <w:name w:val="heading 7"/>
    <w:basedOn w:val="1"/>
    <w:next w:val="1"/>
    <w:link w:val="45"/>
    <w:semiHidden/>
    <w:unhideWhenUsed/>
    <w:qFormat/>
    <w:locked/>
    <w:uiPriority w:val="9"/>
    <w:pPr>
      <w:spacing w:before="240" w:after="60"/>
      <w:outlineLvl w:val="6"/>
    </w:pPr>
  </w:style>
  <w:style w:type="paragraph" w:styleId="10">
    <w:name w:val="heading 8"/>
    <w:basedOn w:val="1"/>
    <w:next w:val="1"/>
    <w:link w:val="46"/>
    <w:semiHidden/>
    <w:unhideWhenUsed/>
    <w:qFormat/>
    <w:locked/>
    <w:uiPriority w:val="9"/>
    <w:pPr>
      <w:spacing w:before="240" w:after="60"/>
      <w:outlineLvl w:val="7"/>
    </w:pPr>
    <w:rPr>
      <w:i/>
      <w:iCs/>
    </w:rPr>
  </w:style>
  <w:style w:type="paragraph" w:styleId="11">
    <w:name w:val="heading 9"/>
    <w:basedOn w:val="1"/>
    <w:next w:val="1"/>
    <w:link w:val="47"/>
    <w:semiHidden/>
    <w:unhideWhenUsed/>
    <w:qFormat/>
    <w:locked/>
    <w:uiPriority w:val="9"/>
    <w:pPr>
      <w:spacing w:before="240" w:after="60"/>
      <w:outlineLvl w:val="8"/>
    </w:pPr>
    <w:rPr>
      <w:rFonts w:asciiTheme="majorHAnsi" w:hAnsiTheme="majorHAnsi" w:eastAsiaTheme="majorEastAsia"/>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1"/>
    <w:qFormat/>
    <w:uiPriority w:val="99"/>
    <w:pPr>
      <w:spacing w:line="360" w:lineRule="auto"/>
    </w:pPr>
  </w:style>
  <w:style w:type="paragraph" w:styleId="12">
    <w:name w:val="Body Text Indent"/>
    <w:basedOn w:val="1"/>
    <w:link w:val="34"/>
    <w:semiHidden/>
    <w:uiPriority w:val="99"/>
    <w:pPr>
      <w:spacing w:after="120"/>
      <w:ind w:left="420" w:leftChars="200"/>
    </w:pPr>
  </w:style>
  <w:style w:type="paragraph" w:styleId="13">
    <w:name w:val="Plain Text"/>
    <w:basedOn w:val="1"/>
    <w:link w:val="37"/>
    <w:qFormat/>
    <w:uiPriority w:val="99"/>
    <w:rPr>
      <w:rFonts w:ascii="宋体" w:hAnsi="Courier New"/>
    </w:rPr>
  </w:style>
  <w:style w:type="paragraph" w:styleId="14">
    <w:name w:val="Balloon Text"/>
    <w:basedOn w:val="1"/>
    <w:link w:val="30"/>
    <w:semiHidden/>
    <w:qFormat/>
    <w:uiPriority w:val="99"/>
    <w:rPr>
      <w:sz w:val="18"/>
      <w:szCs w:val="18"/>
    </w:rPr>
  </w:style>
  <w:style w:type="paragraph" w:styleId="15">
    <w:name w:val="footer"/>
    <w:basedOn w:val="1"/>
    <w:link w:val="31"/>
    <w:qFormat/>
    <w:uiPriority w:val="99"/>
    <w:pPr>
      <w:tabs>
        <w:tab w:val="center" w:pos="4153"/>
        <w:tab w:val="right" w:pos="8306"/>
      </w:tabs>
      <w:snapToGrid w:val="0"/>
    </w:pPr>
    <w:rPr>
      <w:sz w:val="18"/>
      <w:szCs w:val="18"/>
    </w:rPr>
  </w:style>
  <w:style w:type="paragraph" w:styleId="16">
    <w:name w:val="header"/>
    <w:basedOn w:val="1"/>
    <w:link w:val="32"/>
    <w:qFormat/>
    <w:uiPriority w:val="99"/>
    <w:pPr>
      <w:pBdr>
        <w:bottom w:val="single" w:color="auto" w:sz="6" w:space="1"/>
      </w:pBdr>
      <w:tabs>
        <w:tab w:val="center" w:pos="4153"/>
        <w:tab w:val="right" w:pos="8306"/>
      </w:tabs>
      <w:snapToGrid w:val="0"/>
      <w:jc w:val="center"/>
    </w:pPr>
    <w:rPr>
      <w:sz w:val="18"/>
      <w:szCs w:val="18"/>
    </w:rPr>
  </w:style>
  <w:style w:type="paragraph" w:styleId="17">
    <w:name w:val="Subtitle"/>
    <w:basedOn w:val="1"/>
    <w:next w:val="1"/>
    <w:link w:val="49"/>
    <w:qFormat/>
    <w:locked/>
    <w:uiPriority w:val="11"/>
    <w:pPr>
      <w:spacing w:after="60"/>
      <w:jc w:val="center"/>
      <w:outlineLvl w:val="1"/>
    </w:pPr>
    <w:rPr>
      <w:rFonts w:asciiTheme="majorHAnsi" w:hAnsiTheme="majorHAnsi" w:eastAsiaTheme="majorEastAsia"/>
    </w:rPr>
  </w:style>
  <w:style w:type="paragraph" w:styleId="18">
    <w:name w:val="Normal (Web)"/>
    <w:basedOn w:val="1"/>
    <w:qFormat/>
    <w:uiPriority w:val="99"/>
    <w:pPr>
      <w:spacing w:before="100" w:beforeAutospacing="1" w:after="100" w:afterAutospacing="1" w:line="360" w:lineRule="atLeast"/>
    </w:pPr>
    <w:rPr>
      <w:rFonts w:ascii="宋体" w:hAnsi="宋体" w:cs="宋体"/>
      <w:szCs w:val="21"/>
    </w:rPr>
  </w:style>
  <w:style w:type="paragraph" w:styleId="19">
    <w:name w:val="Title"/>
    <w:basedOn w:val="1"/>
    <w:next w:val="1"/>
    <w:link w:val="48"/>
    <w:qFormat/>
    <w:locked/>
    <w:uiPriority w:val="10"/>
    <w:pPr>
      <w:spacing w:before="240" w:after="60"/>
      <w:jc w:val="center"/>
      <w:outlineLvl w:val="0"/>
    </w:pPr>
    <w:rPr>
      <w:rFonts w:asciiTheme="majorHAnsi" w:hAnsiTheme="majorHAnsi" w:eastAsiaTheme="majorEastAsia"/>
      <w:b/>
      <w:bCs/>
      <w:kern w:val="28"/>
      <w:sz w:val="32"/>
      <w:szCs w:val="32"/>
    </w:rPr>
  </w:style>
  <w:style w:type="paragraph" w:styleId="20">
    <w:name w:val="Body Text First Indent 2"/>
    <w:basedOn w:val="12"/>
    <w:link w:val="35"/>
    <w:qFormat/>
    <w:uiPriority w:val="99"/>
    <w:pPr>
      <w:spacing w:after="0"/>
      <w:ind w:left="0" w:leftChars="0" w:firstLine="420" w:firstLineChars="200"/>
    </w:pPr>
    <w:rPr>
      <w:rFonts w:ascii="宋体" w:hAnsi="宋体" w:eastAsia="仿宋_GB2312"/>
      <w:color w:val="000000"/>
      <w:sz w:val="28"/>
    </w:rPr>
  </w:style>
  <w:style w:type="table" w:styleId="22">
    <w:name w:val="Table Grid"/>
    <w:basedOn w:val="21"/>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locked/>
    <w:uiPriority w:val="22"/>
    <w:rPr>
      <w:b/>
      <w:bCs/>
    </w:rPr>
  </w:style>
  <w:style w:type="character" w:styleId="25">
    <w:name w:val="Emphasis"/>
    <w:basedOn w:val="23"/>
    <w:qFormat/>
    <w:locked/>
    <w:uiPriority w:val="20"/>
    <w:rPr>
      <w:rFonts w:asciiTheme="minorHAnsi" w:hAnsiTheme="minorHAnsi"/>
      <w:b/>
      <w:i/>
      <w:iCs/>
    </w:rPr>
  </w:style>
  <w:style w:type="character" w:styleId="26">
    <w:name w:val="Hyperlink"/>
    <w:semiHidden/>
    <w:uiPriority w:val="99"/>
    <w:rPr>
      <w:rFonts w:cs="Times New Roman"/>
      <w:color w:val="0000FF"/>
      <w:u w:val="single"/>
    </w:rPr>
  </w:style>
  <w:style w:type="character" w:customStyle="1" w:styleId="27">
    <w:name w:val="标题 2 Char"/>
    <w:basedOn w:val="23"/>
    <w:link w:val="4"/>
    <w:semiHidden/>
    <w:qFormat/>
    <w:uiPriority w:val="9"/>
    <w:rPr>
      <w:rFonts w:asciiTheme="majorHAnsi" w:hAnsiTheme="majorHAnsi" w:eastAsiaTheme="majorEastAsia"/>
      <w:b/>
      <w:bCs/>
      <w:i/>
      <w:iCs/>
      <w:sz w:val="28"/>
      <w:szCs w:val="28"/>
    </w:rPr>
  </w:style>
  <w:style w:type="character" w:customStyle="1" w:styleId="28">
    <w:name w:val="标题 1 Char"/>
    <w:basedOn w:val="23"/>
    <w:link w:val="3"/>
    <w:qFormat/>
    <w:uiPriority w:val="9"/>
    <w:rPr>
      <w:rFonts w:asciiTheme="majorHAnsi" w:hAnsiTheme="majorHAnsi" w:eastAsiaTheme="majorEastAsia"/>
      <w:b/>
      <w:bCs/>
      <w:kern w:val="32"/>
      <w:sz w:val="32"/>
      <w:szCs w:val="32"/>
    </w:rPr>
  </w:style>
  <w:style w:type="character" w:customStyle="1" w:styleId="29">
    <w:name w:val="标题 3 Char"/>
    <w:basedOn w:val="23"/>
    <w:link w:val="5"/>
    <w:semiHidden/>
    <w:uiPriority w:val="9"/>
    <w:rPr>
      <w:rFonts w:asciiTheme="majorHAnsi" w:hAnsiTheme="majorHAnsi" w:eastAsiaTheme="majorEastAsia"/>
      <w:b/>
      <w:bCs/>
      <w:sz w:val="26"/>
      <w:szCs w:val="26"/>
    </w:rPr>
  </w:style>
  <w:style w:type="character" w:customStyle="1" w:styleId="30">
    <w:name w:val="批注框文本 Char"/>
    <w:link w:val="14"/>
    <w:semiHidden/>
    <w:locked/>
    <w:uiPriority w:val="99"/>
    <w:rPr>
      <w:rFonts w:ascii="Times New Roman" w:hAnsi="Times New Roman" w:eastAsia="宋体" w:cs="Times New Roman"/>
      <w:sz w:val="18"/>
      <w:szCs w:val="18"/>
    </w:rPr>
  </w:style>
  <w:style w:type="character" w:customStyle="1" w:styleId="31">
    <w:name w:val="页脚 Char"/>
    <w:link w:val="15"/>
    <w:qFormat/>
    <w:locked/>
    <w:uiPriority w:val="99"/>
    <w:rPr>
      <w:rFonts w:ascii="Times New Roman" w:hAnsi="Times New Roman" w:eastAsia="宋体" w:cs="Times New Roman"/>
      <w:sz w:val="18"/>
      <w:szCs w:val="18"/>
    </w:rPr>
  </w:style>
  <w:style w:type="character" w:customStyle="1" w:styleId="32">
    <w:name w:val="页眉 Char"/>
    <w:link w:val="16"/>
    <w:locked/>
    <w:uiPriority w:val="99"/>
    <w:rPr>
      <w:rFonts w:ascii="Times New Roman" w:hAnsi="Times New Roman" w:eastAsia="宋体" w:cs="Times New Roman"/>
      <w:sz w:val="18"/>
      <w:szCs w:val="18"/>
    </w:rPr>
  </w:style>
  <w:style w:type="character" w:customStyle="1" w:styleId="33">
    <w:name w:val="Char Char1"/>
    <w:locked/>
    <w:uiPriority w:val="99"/>
    <w:rPr>
      <w:rFonts w:ascii="宋体" w:hAnsi="Courier New" w:eastAsia="宋体"/>
      <w:kern w:val="2"/>
      <w:sz w:val="21"/>
      <w:lang w:val="en-US" w:eastAsia="zh-CN"/>
    </w:rPr>
  </w:style>
  <w:style w:type="character" w:customStyle="1" w:styleId="34">
    <w:name w:val="正文文本缩进 Char"/>
    <w:link w:val="12"/>
    <w:semiHidden/>
    <w:locked/>
    <w:uiPriority w:val="99"/>
    <w:rPr>
      <w:rFonts w:eastAsia="宋体" w:cs="Times New Roman"/>
      <w:kern w:val="2"/>
      <w:sz w:val="21"/>
      <w:lang w:val="en-US" w:eastAsia="zh-CN" w:bidi="ar-SA"/>
    </w:rPr>
  </w:style>
  <w:style w:type="character" w:customStyle="1" w:styleId="35">
    <w:name w:val="正文首行缩进 2 Char"/>
    <w:link w:val="20"/>
    <w:qFormat/>
    <w:locked/>
    <w:uiPriority w:val="99"/>
    <w:rPr>
      <w:rFonts w:ascii="宋体" w:hAnsi="宋体" w:eastAsia="仿宋_GB2312" w:cs="Times New Roman"/>
      <w:color w:val="000000"/>
      <w:kern w:val="2"/>
      <w:sz w:val="28"/>
      <w:lang w:val="en-US" w:eastAsia="zh-CN" w:bidi="ar-SA"/>
    </w:rPr>
  </w:style>
  <w:style w:type="paragraph" w:customStyle="1" w:styleId="36">
    <w:name w:val="表格文字"/>
    <w:basedOn w:val="1"/>
    <w:uiPriority w:val="99"/>
    <w:pPr>
      <w:spacing w:before="25" w:after="25"/>
    </w:pPr>
    <w:rPr>
      <w:bCs/>
      <w:spacing w:val="10"/>
    </w:rPr>
  </w:style>
  <w:style w:type="character" w:customStyle="1" w:styleId="37">
    <w:name w:val="纯文本 Char"/>
    <w:link w:val="13"/>
    <w:locked/>
    <w:uiPriority w:val="99"/>
    <w:rPr>
      <w:rFonts w:ascii="宋体" w:hAnsi="Courier New" w:eastAsia="宋体" w:cs="Times New Roman"/>
      <w:kern w:val="2"/>
      <w:sz w:val="21"/>
      <w:lang w:val="en-US" w:eastAsia="zh-CN" w:bidi="ar-SA"/>
    </w:rPr>
  </w:style>
  <w:style w:type="paragraph" w:styleId="38">
    <w:name w:val="List Paragraph"/>
    <w:basedOn w:val="1"/>
    <w:qFormat/>
    <w:uiPriority w:val="34"/>
    <w:pPr>
      <w:ind w:left="720"/>
      <w:contextualSpacing/>
    </w:pPr>
  </w:style>
  <w:style w:type="paragraph" w:customStyle="1" w:styleId="39">
    <w:name w:val="东方正文"/>
    <w:basedOn w:val="1"/>
    <w:uiPriority w:val="99"/>
    <w:pPr>
      <w:spacing w:line="400" w:lineRule="exact"/>
      <w:ind w:left="284" w:right="284"/>
    </w:pPr>
  </w:style>
  <w:style w:type="paragraph" w:customStyle="1" w:styleId="40">
    <w:name w:val="Default"/>
    <w:qFormat/>
    <w:uiPriority w:val="99"/>
    <w:pPr>
      <w:widowControl w:val="0"/>
      <w:autoSpaceDE w:val="0"/>
      <w:autoSpaceDN w:val="0"/>
      <w:adjustRightInd w:val="0"/>
      <w:spacing w:after="200" w:line="276" w:lineRule="auto"/>
    </w:pPr>
    <w:rPr>
      <w:rFonts w:ascii="宋体" w:cs="宋体" w:hAnsiTheme="minorHAnsi" w:eastAsiaTheme="minorEastAsia"/>
      <w:color w:val="000000"/>
      <w:sz w:val="24"/>
      <w:szCs w:val="24"/>
      <w:lang w:val="en-US" w:eastAsia="en-US" w:bidi="en-US"/>
    </w:rPr>
  </w:style>
  <w:style w:type="character" w:customStyle="1" w:styleId="41">
    <w:name w:val="正文文本 Char"/>
    <w:basedOn w:val="23"/>
    <w:link w:val="2"/>
    <w:uiPriority w:val="99"/>
    <w:rPr>
      <w:kern w:val="2"/>
      <w:sz w:val="24"/>
    </w:rPr>
  </w:style>
  <w:style w:type="character" w:customStyle="1" w:styleId="42">
    <w:name w:val="标题 4 Char"/>
    <w:basedOn w:val="23"/>
    <w:link w:val="6"/>
    <w:qFormat/>
    <w:uiPriority w:val="9"/>
    <w:rPr>
      <w:b/>
      <w:bCs/>
      <w:sz w:val="28"/>
      <w:szCs w:val="28"/>
    </w:rPr>
  </w:style>
  <w:style w:type="character" w:customStyle="1" w:styleId="43">
    <w:name w:val="标题 5 Char"/>
    <w:basedOn w:val="23"/>
    <w:link w:val="7"/>
    <w:semiHidden/>
    <w:qFormat/>
    <w:uiPriority w:val="9"/>
    <w:rPr>
      <w:b/>
      <w:bCs/>
      <w:i/>
      <w:iCs/>
      <w:sz w:val="26"/>
      <w:szCs w:val="26"/>
    </w:rPr>
  </w:style>
  <w:style w:type="character" w:customStyle="1" w:styleId="44">
    <w:name w:val="标题 6 Char"/>
    <w:basedOn w:val="23"/>
    <w:link w:val="8"/>
    <w:semiHidden/>
    <w:qFormat/>
    <w:uiPriority w:val="9"/>
    <w:rPr>
      <w:b/>
      <w:bCs/>
    </w:rPr>
  </w:style>
  <w:style w:type="character" w:customStyle="1" w:styleId="45">
    <w:name w:val="标题 7 Char"/>
    <w:basedOn w:val="23"/>
    <w:link w:val="9"/>
    <w:semiHidden/>
    <w:uiPriority w:val="9"/>
    <w:rPr>
      <w:sz w:val="24"/>
      <w:szCs w:val="24"/>
    </w:rPr>
  </w:style>
  <w:style w:type="character" w:customStyle="1" w:styleId="46">
    <w:name w:val="标题 8 Char"/>
    <w:basedOn w:val="23"/>
    <w:link w:val="10"/>
    <w:semiHidden/>
    <w:uiPriority w:val="9"/>
    <w:rPr>
      <w:i/>
      <w:iCs/>
      <w:sz w:val="24"/>
      <w:szCs w:val="24"/>
    </w:rPr>
  </w:style>
  <w:style w:type="character" w:customStyle="1" w:styleId="47">
    <w:name w:val="标题 9 Char"/>
    <w:basedOn w:val="23"/>
    <w:link w:val="11"/>
    <w:semiHidden/>
    <w:uiPriority w:val="9"/>
    <w:rPr>
      <w:rFonts w:asciiTheme="majorHAnsi" w:hAnsiTheme="majorHAnsi" w:eastAsiaTheme="majorEastAsia"/>
    </w:rPr>
  </w:style>
  <w:style w:type="character" w:customStyle="1" w:styleId="48">
    <w:name w:val="标题 Char"/>
    <w:basedOn w:val="23"/>
    <w:link w:val="19"/>
    <w:uiPriority w:val="10"/>
    <w:rPr>
      <w:rFonts w:asciiTheme="majorHAnsi" w:hAnsiTheme="majorHAnsi" w:eastAsiaTheme="majorEastAsia"/>
      <w:b/>
      <w:bCs/>
      <w:kern w:val="28"/>
      <w:sz w:val="32"/>
      <w:szCs w:val="32"/>
    </w:rPr>
  </w:style>
  <w:style w:type="character" w:customStyle="1" w:styleId="49">
    <w:name w:val="副标题 Char"/>
    <w:basedOn w:val="23"/>
    <w:link w:val="17"/>
    <w:uiPriority w:val="11"/>
    <w:rPr>
      <w:rFonts w:asciiTheme="majorHAnsi" w:hAnsiTheme="majorHAnsi" w:eastAsiaTheme="majorEastAsia"/>
      <w:sz w:val="24"/>
      <w:szCs w:val="24"/>
    </w:rPr>
  </w:style>
  <w:style w:type="paragraph" w:styleId="50">
    <w:name w:val="No Spacing"/>
    <w:basedOn w:val="1"/>
    <w:qFormat/>
    <w:uiPriority w:val="1"/>
    <w:rPr>
      <w:szCs w:val="32"/>
    </w:rPr>
  </w:style>
  <w:style w:type="paragraph" w:styleId="51">
    <w:name w:val="Quote"/>
    <w:basedOn w:val="1"/>
    <w:next w:val="1"/>
    <w:link w:val="52"/>
    <w:qFormat/>
    <w:uiPriority w:val="29"/>
    <w:rPr>
      <w:i/>
    </w:rPr>
  </w:style>
  <w:style w:type="character" w:customStyle="1" w:styleId="52">
    <w:name w:val="引用 Char"/>
    <w:basedOn w:val="23"/>
    <w:link w:val="51"/>
    <w:uiPriority w:val="29"/>
    <w:rPr>
      <w:i/>
      <w:sz w:val="24"/>
      <w:szCs w:val="24"/>
    </w:rPr>
  </w:style>
  <w:style w:type="paragraph" w:styleId="53">
    <w:name w:val="Intense Quote"/>
    <w:basedOn w:val="1"/>
    <w:next w:val="1"/>
    <w:link w:val="54"/>
    <w:qFormat/>
    <w:uiPriority w:val="30"/>
    <w:pPr>
      <w:ind w:left="720" w:right="720"/>
    </w:pPr>
    <w:rPr>
      <w:b/>
      <w:i/>
      <w:szCs w:val="22"/>
    </w:rPr>
  </w:style>
  <w:style w:type="character" w:customStyle="1" w:styleId="54">
    <w:name w:val="明显引用 Char"/>
    <w:basedOn w:val="23"/>
    <w:link w:val="53"/>
    <w:uiPriority w:val="30"/>
    <w:rPr>
      <w:b/>
      <w:i/>
      <w:sz w:val="24"/>
    </w:rPr>
  </w:style>
  <w:style w:type="character" w:customStyle="1" w:styleId="55">
    <w:name w:val="Subtle Emphasis"/>
    <w:qFormat/>
    <w:uiPriority w:val="19"/>
    <w:rPr>
      <w:i/>
      <w:color w:val="595959" w:themeColor="text1" w:themeTint="A5"/>
    </w:rPr>
  </w:style>
  <w:style w:type="character" w:customStyle="1" w:styleId="56">
    <w:name w:val="Intense Emphasis"/>
    <w:basedOn w:val="23"/>
    <w:qFormat/>
    <w:uiPriority w:val="21"/>
    <w:rPr>
      <w:b/>
      <w:i/>
      <w:sz w:val="24"/>
      <w:szCs w:val="24"/>
      <w:u w:val="single"/>
    </w:rPr>
  </w:style>
  <w:style w:type="character" w:customStyle="1" w:styleId="57">
    <w:name w:val="Subtle Reference"/>
    <w:basedOn w:val="23"/>
    <w:qFormat/>
    <w:uiPriority w:val="31"/>
    <w:rPr>
      <w:sz w:val="24"/>
      <w:szCs w:val="24"/>
      <w:u w:val="single"/>
    </w:rPr>
  </w:style>
  <w:style w:type="character" w:customStyle="1" w:styleId="58">
    <w:name w:val="Intense Reference"/>
    <w:basedOn w:val="23"/>
    <w:qFormat/>
    <w:uiPriority w:val="32"/>
    <w:rPr>
      <w:b/>
      <w:sz w:val="24"/>
      <w:u w:val="single"/>
    </w:rPr>
  </w:style>
  <w:style w:type="character" w:customStyle="1" w:styleId="59">
    <w:name w:val="Book Title"/>
    <w:basedOn w:val="23"/>
    <w:qFormat/>
    <w:uiPriority w:val="33"/>
    <w:rPr>
      <w:rFonts w:asciiTheme="majorHAnsi" w:hAnsiTheme="majorHAnsi" w:eastAsiaTheme="majorEastAsia"/>
      <w:b/>
      <w:i/>
      <w:sz w:val="24"/>
      <w:szCs w:val="24"/>
    </w:rPr>
  </w:style>
  <w:style w:type="paragraph" w:customStyle="1" w:styleId="60">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24</Pages>
  <Words>1964</Words>
  <Characters>11196</Characters>
  <Lines>93</Lines>
  <Paragraphs>26</Paragraphs>
  <TotalTime>461</TotalTime>
  <ScaleCrop>false</ScaleCrop>
  <LinksUpToDate>false</LinksUpToDate>
  <CharactersWithSpaces>13134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lenovo1018</cp:lastModifiedBy>
  <cp:lastPrinted>2021-03-31T06:52:00Z</cp:lastPrinted>
  <dcterms:modified xsi:type="dcterms:W3CDTF">2021-03-31T07:16:12Z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