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赣州市生荣文体用品有限公司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pStyle w:val="11"/>
        <w:numPr>
          <w:ilvl w:val="0"/>
          <w:numId w:val="1"/>
        </w:numPr>
        <w:ind w:left="-142" w:hanging="709" w:firstLineChars="0"/>
        <w:rPr>
          <w:rFonts w:hint="eastAsia" w:ascii="宋体" w:hAnsi="宋体" w:eastAsia="宋体" w:cs="Times New Roman"/>
          <w:b/>
          <w:color w:val="000000" w:themeColor="text1"/>
          <w:sz w:val="26"/>
          <w:szCs w:val="26"/>
        </w:rPr>
      </w:pPr>
      <w:r>
        <w:rPr>
          <w:rFonts w:hint="eastAsia" w:ascii="宋体" w:hAnsi="宋体" w:eastAsia="宋体" w:cs="Times New Roman"/>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837"/>
        <w:gridCol w:w="4"/>
        <w:gridCol w:w="79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赣州市生荣文体用品有限公司</w:t>
            </w:r>
            <w:bookmarkEnd w:id="5"/>
          </w:p>
        </w:tc>
        <w:tc>
          <w:tcPr>
            <w:tcW w:w="1361"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017" w:type="dxa"/>
            <w:gridSpan w:val="3"/>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5940" w:type="dxa"/>
            <w:gridSpan w:val="9"/>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江西省赣州市章贡区赣南贸易广场西街34、36号</w:t>
            </w:r>
            <w:bookmarkEnd w:id="7"/>
          </w:p>
        </w:tc>
        <w:tc>
          <w:tcPr>
            <w:tcW w:w="795" w:type="dxa"/>
            <w:gridSpan w:val="2"/>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邮编</w:t>
            </w:r>
          </w:p>
        </w:tc>
        <w:tc>
          <w:tcPr>
            <w:tcW w:w="1222"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341000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5940" w:type="dxa"/>
            <w:gridSpan w:val="9"/>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江西省赣州市章贡区赣南贸易广场西街34、36号</w:t>
            </w:r>
            <w:bookmarkEnd w:id="9"/>
          </w:p>
        </w:tc>
        <w:tc>
          <w:tcPr>
            <w:tcW w:w="795" w:type="dxa"/>
            <w:gridSpan w:val="2"/>
            <w:vMerge w:val="continue"/>
            <w:vAlign w:val="center"/>
          </w:tcPr>
          <w:p>
            <w:pPr>
              <w:spacing w:line="320" w:lineRule="exact"/>
              <w:jc w:val="center"/>
              <w:rPr>
                <w:rFonts w:ascii="宋体" w:hAnsi="宋体"/>
                <w:b/>
                <w:color w:val="000000" w:themeColor="text1"/>
                <w:sz w:val="20"/>
                <w:szCs w:val="20"/>
              </w:rPr>
            </w:pPr>
          </w:p>
        </w:tc>
        <w:tc>
          <w:tcPr>
            <w:tcW w:w="1222"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341000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5940" w:type="dxa"/>
            <w:gridSpan w:val="9"/>
          </w:tcPr>
          <w:p>
            <w:pPr>
              <w:spacing w:line="320" w:lineRule="exact"/>
              <w:rPr>
                <w:rFonts w:ascii="宋体" w:hAnsi="宋体"/>
                <w:b/>
                <w:color w:val="000000" w:themeColor="text1"/>
                <w:sz w:val="20"/>
                <w:szCs w:val="20"/>
              </w:rPr>
            </w:pPr>
          </w:p>
        </w:tc>
        <w:tc>
          <w:tcPr>
            <w:tcW w:w="795" w:type="dxa"/>
            <w:gridSpan w:val="2"/>
            <w:vMerge w:val="continue"/>
            <w:vAlign w:val="center"/>
          </w:tcPr>
          <w:p>
            <w:pPr>
              <w:spacing w:line="320" w:lineRule="exact"/>
              <w:jc w:val="center"/>
              <w:rPr>
                <w:rFonts w:ascii="宋体" w:hAnsi="宋体"/>
                <w:b/>
                <w:color w:val="000000" w:themeColor="text1"/>
                <w:sz w:val="20"/>
                <w:szCs w:val="20"/>
              </w:rPr>
            </w:pPr>
          </w:p>
        </w:tc>
        <w:tc>
          <w:tcPr>
            <w:tcW w:w="1222"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5940" w:type="dxa"/>
            <w:gridSpan w:val="9"/>
          </w:tcPr>
          <w:p>
            <w:pPr>
              <w:spacing w:line="320" w:lineRule="exact"/>
              <w:rPr>
                <w:rFonts w:ascii="宋体" w:hAnsi="宋体"/>
                <w:b/>
                <w:color w:val="000000" w:themeColor="text1"/>
                <w:sz w:val="20"/>
                <w:szCs w:val="20"/>
              </w:rPr>
            </w:pPr>
          </w:p>
        </w:tc>
        <w:tc>
          <w:tcPr>
            <w:tcW w:w="795" w:type="dxa"/>
            <w:gridSpan w:val="2"/>
            <w:vMerge w:val="continue"/>
            <w:vAlign w:val="center"/>
          </w:tcPr>
          <w:p>
            <w:pPr>
              <w:spacing w:line="320" w:lineRule="exact"/>
              <w:jc w:val="center"/>
              <w:rPr>
                <w:rFonts w:ascii="宋体" w:hAnsi="宋体"/>
                <w:b/>
                <w:color w:val="000000" w:themeColor="text1"/>
                <w:sz w:val="20"/>
                <w:szCs w:val="20"/>
              </w:rPr>
            </w:pPr>
          </w:p>
        </w:tc>
        <w:tc>
          <w:tcPr>
            <w:tcW w:w="1222"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5940" w:type="dxa"/>
            <w:gridSpan w:val="9"/>
          </w:tcPr>
          <w:p>
            <w:pPr>
              <w:spacing w:line="320" w:lineRule="exact"/>
              <w:rPr>
                <w:rFonts w:ascii="宋体" w:hAnsi="宋体"/>
                <w:b/>
                <w:color w:val="000000" w:themeColor="text1"/>
                <w:sz w:val="20"/>
                <w:szCs w:val="20"/>
              </w:rPr>
            </w:pPr>
          </w:p>
        </w:tc>
        <w:tc>
          <w:tcPr>
            <w:tcW w:w="795" w:type="dxa"/>
            <w:gridSpan w:val="2"/>
            <w:vMerge w:val="continue"/>
            <w:vAlign w:val="center"/>
          </w:tcPr>
          <w:p>
            <w:pPr>
              <w:spacing w:line="320" w:lineRule="exact"/>
              <w:jc w:val="center"/>
              <w:rPr>
                <w:rFonts w:ascii="宋体" w:hAnsi="宋体"/>
                <w:b/>
                <w:color w:val="000000" w:themeColor="text1"/>
                <w:sz w:val="20"/>
                <w:szCs w:val="20"/>
              </w:rPr>
            </w:pPr>
          </w:p>
        </w:tc>
        <w:tc>
          <w:tcPr>
            <w:tcW w:w="1222"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郭荣春</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0797-8111823</w:t>
            </w:r>
            <w:bookmarkEnd w:id="12"/>
          </w:p>
        </w:tc>
        <w:tc>
          <w:tcPr>
            <w:tcW w:w="965"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3"/>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郭荣春</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4"/>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3"/>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刘传文</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2"/>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Q：办公用品、体育用品、日用品、劳动保护用品、文具用品、纸制品的销售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E：办公用品、体育用品、日用品、劳动保护用品、文具用品、纸制品的销售所涉及场所的相关环境管理活动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O：办公用品、体育用品、日用品、劳动保护用品、文具用品、纸制品的销售所涉及场所的相关职业健康安全管理活动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1975" w:type="dxa"/>
            <w:gridSpan w:val="6"/>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013" w:type="dxa"/>
            <w:gridSpan w:val="2"/>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2020-11-15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4"/>
            <w:vAlign w:val="center"/>
          </w:tcPr>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2"/>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2"/>
          </w:tcPr>
          <w:p>
            <w:pPr>
              <w:widowControl/>
              <w:jc w:val="lef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vAlign w:val="top"/>
          </w:tcPr>
          <w:p>
            <w:pPr>
              <w:jc w:val="center"/>
              <w:rPr>
                <w:rFonts w:ascii="宋体" w:hAnsi="宋体"/>
                <w:b/>
                <w:color w:val="000000" w:themeColor="text1"/>
                <w:spacing w:val="-20"/>
                <w:sz w:val="20"/>
                <w:szCs w:val="20"/>
                <w:u w:val="single"/>
              </w:rPr>
            </w:pPr>
            <w:r>
              <w:rPr>
                <w:rFonts w:hint="eastAsia" w:ascii="宋体"/>
                <w:b/>
                <w:spacing w:val="-20"/>
                <w:sz w:val="20"/>
                <w:szCs w:val="20"/>
                <w:u w:val="single"/>
              </w:rPr>
              <w:t>体系运行、人力资源、内审、监视与绩效考核及其相关的环境、安全管理活动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vAlign w:val="top"/>
          </w:tcPr>
          <w:p>
            <w:pPr>
              <w:jc w:val="center"/>
              <w:rPr>
                <w:rFonts w:ascii="宋体" w:hAnsi="宋体"/>
                <w:b/>
                <w:color w:val="000000" w:themeColor="text1"/>
                <w:spacing w:val="-20"/>
                <w:sz w:val="20"/>
                <w:szCs w:val="20"/>
                <w:u w:val="single"/>
              </w:rPr>
            </w:pPr>
            <w:r>
              <w:rPr>
                <w:rFonts w:hint="eastAsia" w:ascii="宋体"/>
                <w:b/>
                <w:spacing w:val="-20"/>
                <w:sz w:val="20"/>
                <w:szCs w:val="20"/>
                <w:u w:val="single"/>
              </w:rPr>
              <w:t>物质采购、供应商管理、</w:t>
            </w:r>
            <w:r>
              <w:rPr>
                <w:rFonts w:hint="eastAsia" w:ascii="宋体"/>
                <w:b/>
                <w:spacing w:val="-20"/>
                <w:sz w:val="20"/>
                <w:szCs w:val="20"/>
                <w:u w:val="single"/>
                <w:lang w:val="en-US" w:eastAsia="zh-CN"/>
              </w:rPr>
              <w:t>销售过程、</w:t>
            </w:r>
            <w:r>
              <w:rPr>
                <w:rFonts w:hint="eastAsia" w:ascii="宋体"/>
                <w:b/>
                <w:spacing w:val="-20"/>
                <w:sz w:val="20"/>
                <w:szCs w:val="20"/>
                <w:u w:val="single"/>
              </w:rPr>
              <w:t>顾客满意度及其相关的环境、安全管理活动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办公用品、体育用品、日用品、劳动保护用品、文具用品、纸制品的销售</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b/>
                <w:color w:val="000000" w:themeColor="text1"/>
                <w:sz w:val="20"/>
                <w:szCs w:val="20"/>
              </w:rPr>
            </w:pPr>
            <w:r>
              <w:rPr>
                <w:rFonts w:hint="eastAsia"/>
                <w:b/>
                <w:color w:val="000000" w:themeColor="text1"/>
                <w:sz w:val="20"/>
                <w:szCs w:val="20"/>
              </w:rPr>
              <w:t>《GB/T 16868-2009商品经营服务质量管理规范》</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3" w:leftChars="-337" w:hanging="515" w:hangingChars="271"/>
        <w:rPr>
          <w:b/>
          <w:color w:val="000000" w:themeColor="text1"/>
          <w:spacing w:val="-10"/>
          <w:szCs w:val="21"/>
        </w:rPr>
      </w:pPr>
      <w:r>
        <w:rPr>
          <w:rFonts w:hint="eastAsia" w:ascii="MS Mincho" w:hAnsi="MS Mincho" w:eastAsia="MS Mincho" w:cs="MS Mincho"/>
          <w:b/>
          <w:color w:val="000000" w:themeColor="text1"/>
          <w:spacing w:val="-10"/>
          <w:szCs w:val="21"/>
        </w:rPr>
        <w:t>☑</w:t>
      </w:r>
      <w:r>
        <w:rPr>
          <w:rFonts w:hint="eastAsia"/>
          <w:b/>
          <w:color w:val="000000" w:themeColor="text1"/>
          <w:spacing w:val="-10"/>
          <w:szCs w:val="21"/>
        </w:rPr>
        <w:t>体系运行开始的2020年1</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25</w:t>
      </w:r>
      <w:r>
        <w:rPr>
          <w:rFonts w:hint="eastAsia"/>
          <w:b/>
          <w:color w:val="000000" w:themeColor="text1"/>
          <w:spacing w:val="-10"/>
          <w:szCs w:val="21"/>
        </w:rPr>
        <w:t>日</w:t>
      </w:r>
      <w:bookmarkEnd w:id="20"/>
      <w:r>
        <w:rPr>
          <w:rFonts w:hint="eastAsia"/>
          <w:b/>
          <w:color w:val="000000" w:themeColor="text1"/>
          <w:spacing w:val="-10"/>
          <w:szCs w:val="21"/>
        </w:rPr>
        <w:t>至2021年3月</w:t>
      </w:r>
      <w:r>
        <w:rPr>
          <w:rFonts w:hint="eastAsia"/>
          <w:b/>
          <w:color w:val="000000" w:themeColor="text1"/>
          <w:spacing w:val="-10"/>
          <w:szCs w:val="21"/>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360" w:lineRule="auto"/>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360" w:lineRule="auto"/>
              <w:rPr>
                <w:rFonts w:hint="eastAsia"/>
                <w:b/>
                <w:bCs/>
              </w:rPr>
            </w:pPr>
            <w:r>
              <w:rPr>
                <w:b/>
                <w:bCs/>
              </w:rPr>
              <w:t>1、</w:t>
            </w:r>
            <w:r>
              <w:rPr>
                <w:rFonts w:hint="eastAsia"/>
                <w:b/>
                <w:bCs/>
              </w:rPr>
              <w:t>组织及其环境的识别情况</w:t>
            </w:r>
          </w:p>
          <w:p>
            <w:pPr>
              <w:pStyle w:val="2"/>
              <w:spacing w:line="360" w:lineRule="auto"/>
              <w:rPr>
                <w:rFonts w:hint="eastAsia"/>
                <w:lang w:eastAsia="zh-CN"/>
              </w:rPr>
            </w:pPr>
            <w:r>
              <w:rPr>
                <w:rFonts w:hint="eastAsia"/>
              </w:rPr>
              <w:t>赣州市生荣文体用品有限公司，2004年04月21日成立，</w:t>
            </w:r>
            <w:r>
              <w:rPr>
                <w:rFonts w:hint="eastAsia" w:ascii="宋体" w:hAnsi="宋体" w:eastAsia="宋体" w:cs="Arial"/>
                <w:color w:val="auto"/>
                <w:spacing w:val="-6"/>
                <w:sz w:val="21"/>
                <w:szCs w:val="21"/>
                <w:lang w:eastAsia="zh-CN"/>
              </w:rPr>
              <w:t>注册资金200万元，</w:t>
            </w:r>
            <w:r>
              <w:rPr>
                <w:rFonts w:hint="eastAsia"/>
              </w:rPr>
              <w:t>位于江西省赣州市章贡区赣南贸易广场西街34、36号</w:t>
            </w:r>
            <w:r>
              <w:rPr>
                <w:rFonts w:hint="eastAsia"/>
                <w:lang w:eastAsia="zh-CN"/>
              </w:rPr>
              <w:t>。</w:t>
            </w:r>
            <w:r>
              <w:rPr>
                <w:rFonts w:hint="eastAsia"/>
              </w:rPr>
              <w:t>主要从事办公用品、体育用品、日用品、劳动保护用品、文具用品、纸制品的销售的民营企业</w:t>
            </w:r>
            <w:r>
              <w:rPr>
                <w:rFonts w:hint="eastAsia"/>
                <w:lang w:eastAsia="zh-CN"/>
              </w:rPr>
              <w:t>；</w:t>
            </w:r>
          </w:p>
          <w:p>
            <w:pPr>
              <w:pStyle w:val="2"/>
              <w:spacing w:line="360" w:lineRule="auto"/>
              <w:rPr>
                <w:rFonts w:hint="eastAsia"/>
              </w:rPr>
            </w:pPr>
            <w:r>
              <w:rPr>
                <w:rFonts w:hint="eastAsia"/>
              </w:rPr>
              <w:t>经营面积300㎡，公司人员共12人，配有销售人员、办公人员、司机，办公设备有办公桌、文件柜、复印机、电脑、打印机、配送车辆</w:t>
            </w:r>
            <w:r>
              <w:rPr>
                <w:rFonts w:hint="eastAsia"/>
                <w:lang w:eastAsia="zh-CN"/>
              </w:rPr>
              <w:t>、</w:t>
            </w:r>
            <w:r>
              <w:rPr>
                <w:rFonts w:hint="eastAsia"/>
                <w:lang w:val="en-US" w:eastAsia="zh-CN"/>
              </w:rPr>
              <w:t>液压升降机、手推车</w:t>
            </w:r>
            <w:r>
              <w:rPr>
                <w:rFonts w:hint="eastAsia"/>
              </w:rPr>
              <w:t>等。</w:t>
            </w:r>
          </w:p>
          <w:p>
            <w:pPr>
              <w:pStyle w:val="2"/>
              <w:spacing w:line="360" w:lineRule="auto"/>
              <w:rPr>
                <w:rFonts w:hint="eastAsia"/>
              </w:rPr>
            </w:pPr>
            <w:r>
              <w:rPr>
                <w:rFonts w:hint="eastAsia" w:ascii="宋体" w:hAnsi="宋体" w:eastAsia="宋体" w:cs="Arial"/>
                <w:color w:val="auto"/>
                <w:spacing w:val="-6"/>
                <w:sz w:val="21"/>
                <w:szCs w:val="21"/>
                <w:lang w:eastAsia="zh-CN"/>
              </w:rPr>
              <w:t>经营范围覆盖认证范围：办公用品、体育用品、日用品、劳动保护用品、文具用品、纸制品的销售及所涉及场所的相关环境管理/职业健康安全管理活动；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360" w:lineRule="auto"/>
              <w:ind w:left="201" w:right="113" w:hanging="201" w:hangingChars="100"/>
              <w:jc w:val="center"/>
              <w:rPr>
                <w:rFonts w:ascii="宋体" w:hAnsi="宋体"/>
                <w:b/>
                <w:color w:val="000000" w:themeColor="text1"/>
                <w:sz w:val="20"/>
                <w:szCs w:val="20"/>
              </w:rPr>
            </w:pPr>
          </w:p>
        </w:tc>
        <w:tc>
          <w:tcPr>
            <w:tcW w:w="9198" w:type="dxa"/>
          </w:tcPr>
          <w:p>
            <w:pPr>
              <w:spacing w:line="360" w:lineRule="auto"/>
              <w:rPr>
                <w:rFonts w:hint="eastAsia"/>
                <w:b/>
                <w:bCs/>
              </w:rPr>
            </w:pPr>
            <w:r>
              <w:rPr>
                <w:b/>
                <w:bCs/>
              </w:rPr>
              <w:t>2、</w:t>
            </w:r>
            <w:r>
              <w:rPr>
                <w:rFonts w:hint="eastAsia"/>
                <w:b/>
                <w:bCs/>
              </w:rPr>
              <w:t>相关方需求和期望识别情况</w:t>
            </w:r>
          </w:p>
          <w:p>
            <w:pPr>
              <w:spacing w:line="360" w:lineRule="auto"/>
              <w:ind w:firstLine="420" w:firstLineChars="200"/>
              <w:rPr>
                <w:rFonts w:hint="eastAsia"/>
                <w:color w:val="auto"/>
                <w:lang w:val="en-US" w:eastAsia="zh-CN"/>
              </w:rPr>
            </w:pPr>
            <w:r>
              <w:rPr>
                <w:rFonts w:hint="eastAsia"/>
                <w:color w:val="auto"/>
                <w:lang w:val="en-US" w:eastAsia="zh-CN"/>
              </w:rPr>
              <w:t>公司确定了与质量、环境、职业健康安全管理体系有关的相关方包括顾客/最终消费者、员工、政府、外部供方、竞争对手、社会、相邻单位；</w:t>
            </w:r>
          </w:p>
          <w:p>
            <w:pPr>
              <w:spacing w:line="360" w:lineRule="auto"/>
              <w:ind w:firstLine="420" w:firstLineChars="200"/>
            </w:pPr>
            <w:r>
              <w:rPr>
                <w:rFonts w:hint="eastAsia"/>
                <w:color w:val="auto"/>
                <w:lang w:val="en-US" w:eastAsia="zh-CN"/>
              </w:rPr>
              <w:t>相关方期望或要求识别表中明确了相关方的需求，以及监视和测量、采取应对措施等要求。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360" w:lineRule="auto"/>
              <w:ind w:left="201" w:right="113" w:hanging="201" w:hangingChars="100"/>
              <w:jc w:val="center"/>
              <w:rPr>
                <w:rFonts w:ascii="宋体" w:hAnsi="宋体"/>
                <w:b/>
                <w:color w:val="000000" w:themeColor="text1"/>
                <w:sz w:val="20"/>
                <w:szCs w:val="20"/>
              </w:rPr>
            </w:pPr>
          </w:p>
        </w:tc>
        <w:tc>
          <w:tcPr>
            <w:tcW w:w="9198" w:type="dxa"/>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质量环境职业健康安全方针：</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 xml:space="preserve">质量至上、持续创新、诚实守信、顾客至上； </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预防为主、降低风险、遵章守法、创造和谐。</w:t>
            </w:r>
          </w:p>
          <w:p>
            <w:pPr>
              <w:spacing w:line="360" w:lineRule="auto"/>
              <w:ind w:left="199" w:leftChars="95"/>
              <w:rPr>
                <w:rFonts w:hint="default" w:eastAsia="宋体"/>
                <w:b/>
                <w:color w:val="000000" w:themeColor="text1"/>
                <w:lang w:val="en-US" w:eastAsia="zh-CN"/>
              </w:rPr>
            </w:pPr>
            <w:r>
              <w:rPr>
                <w:rFonts w:hint="eastAsia"/>
                <w:b/>
                <w:color w:val="000000" w:themeColor="text1"/>
                <w:lang w:val="en-US" w:eastAsia="zh-CN"/>
              </w:rPr>
              <w:t xml:space="preserve">  通过管理评审对方针持续适应性进行评审；在管理手册中保持，通过文件发放传达。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360" w:lineRule="auto"/>
              <w:ind w:left="201" w:right="113" w:hanging="201" w:hangingChars="100"/>
              <w:jc w:val="center"/>
              <w:rPr>
                <w:rFonts w:ascii="宋体" w:hAnsi="宋体"/>
                <w:b/>
                <w:color w:val="000000" w:themeColor="text1"/>
                <w:sz w:val="20"/>
                <w:szCs w:val="20"/>
              </w:rPr>
            </w:pPr>
          </w:p>
        </w:tc>
        <w:tc>
          <w:tcPr>
            <w:tcW w:w="9198" w:type="dxa"/>
          </w:tcPr>
          <w:p>
            <w:pPr>
              <w:spacing w:line="360" w:lineRule="auto"/>
              <w:rPr>
                <w:rFonts w:hint="eastAsia"/>
                <w:b/>
                <w:bCs/>
              </w:rPr>
            </w:pPr>
            <w:r>
              <w:rPr>
                <w:b/>
                <w:bCs/>
              </w:rPr>
              <w:t>4、</w:t>
            </w:r>
            <w:r>
              <w:rPr>
                <w:rFonts w:hint="eastAsia"/>
                <w:b/>
                <w:bCs/>
              </w:rPr>
              <w:t>风险识别与控制策划（QMS）</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基于对4.1和4.2的考虑，分析了公司存在的风险和机遇：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存在的机遇：公司持续运营多年，积累了良好的信誉和相关方业务关系基础，良好的用工政策（五险一金、法定假日的全薪等）保持了人员的稳定性和能力，给公司的发展带来了机遇</w:t>
            </w:r>
            <w:r>
              <w:rPr>
                <w:rFonts w:hint="eastAsia" w:ascii="宋体" w:hAnsi="宋体" w:cs="Arial"/>
                <w:color w:val="auto"/>
                <w:spacing w:val="-6"/>
                <w:sz w:val="21"/>
                <w:szCs w:val="21"/>
                <w:highlight w:val="none"/>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存在的风险：互联网销售平台的发展带来的竞争，行业进入门槛低导致竞争对手多、国家政策的变化导致更多的业务通过招投标进行面临的低价中标等</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编制有《风险和机遇的应对控制程序》，对组织内外的风险和机遇进行了策划。</w:t>
            </w:r>
          </w:p>
          <w:p>
            <w:pPr>
              <w:adjustRightInd w:val="0"/>
              <w:snapToGrid w:val="0"/>
              <w:spacing w:line="360" w:lineRule="auto"/>
              <w:ind w:right="105" w:rightChars="50" w:firstLine="396" w:firstLineChars="200"/>
              <w:textAlignment w:val="baseline"/>
            </w:pPr>
            <w:r>
              <w:rPr>
                <w:rFonts w:hint="eastAsia" w:ascii="宋体" w:hAnsi="宋体" w:cs="Arial"/>
                <w:color w:val="auto"/>
                <w:spacing w:val="-6"/>
                <w:sz w:val="21"/>
                <w:szCs w:val="21"/>
              </w:rPr>
              <w:t>为应对</w:t>
            </w:r>
            <w:r>
              <w:rPr>
                <w:rFonts w:hint="eastAsia" w:ascii="宋体" w:hAnsi="宋体" w:cs="Arial"/>
                <w:color w:val="auto"/>
                <w:spacing w:val="-6"/>
                <w:sz w:val="21"/>
                <w:szCs w:val="21"/>
                <w:lang w:val="en-US" w:eastAsia="zh-CN"/>
              </w:rPr>
              <w:t>上述</w:t>
            </w:r>
            <w:r>
              <w:rPr>
                <w:rFonts w:hint="eastAsia" w:ascii="宋体" w:hAnsi="宋体" w:cs="Arial"/>
                <w:color w:val="auto"/>
                <w:spacing w:val="-6"/>
                <w:sz w:val="21"/>
                <w:szCs w:val="21"/>
              </w:rPr>
              <w:t>的风险和机遇，公司依据ISO9001：2015、ISO14001：2015、ISO45001：2018标准的要求并结合本公司的具体情况，采取PDCA的过程方法，建立、实施、保持并持续改进质量、环境、职业健康安全管理体系。</w:t>
            </w: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《管理手册》A/0版，</w:t>
            </w:r>
            <w:r>
              <w:rPr>
                <w:rFonts w:hint="eastAsia" w:ascii="宋体" w:hAnsi="宋体" w:cs="Arial"/>
                <w:color w:val="auto"/>
                <w:spacing w:val="-6"/>
                <w:sz w:val="21"/>
                <w:szCs w:val="21"/>
                <w:lang w:val="en-US" w:eastAsia="zh-CN"/>
              </w:rPr>
              <w:t>于</w:t>
            </w:r>
            <w:r>
              <w:rPr>
                <w:rFonts w:hint="eastAsia" w:ascii="宋体" w:hAnsi="宋体" w:cs="Arial"/>
                <w:color w:val="auto"/>
                <w:spacing w:val="-6"/>
                <w:sz w:val="21"/>
                <w:szCs w:val="21"/>
              </w:rPr>
              <w:t>2020年11月25日</w:t>
            </w:r>
            <w:r>
              <w:rPr>
                <w:rFonts w:hint="eastAsia" w:ascii="宋体" w:hAnsi="宋体" w:cs="Arial"/>
                <w:color w:val="auto"/>
                <w:spacing w:val="-6"/>
                <w:sz w:val="21"/>
                <w:szCs w:val="21"/>
                <w:lang w:val="en-US" w:eastAsia="zh-CN"/>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360" w:lineRule="auto"/>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60" w:lineRule="auto"/>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产品要求信息获取——产品要求评审——签订合同——采购——质检——-销售——售后。</w:t>
            </w:r>
          </w:p>
          <w:p>
            <w:pPr>
              <w:tabs>
                <w:tab w:val="left" w:pos="540"/>
              </w:tabs>
              <w:spacing w:line="360" w:lineRule="auto"/>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签订合同</w:t>
            </w:r>
            <w:r>
              <w:rPr>
                <w:rFonts w:hint="eastAsia" w:ascii="宋体" w:hAnsi="宋体"/>
                <w:b/>
                <w:color w:val="000000" w:themeColor="text1"/>
                <w:sz w:val="20"/>
                <w:szCs w:val="20"/>
                <w:u w:val="single"/>
                <w:lang w:eastAsia="zh-CN"/>
              </w:rPr>
              <w:t>、</w:t>
            </w:r>
            <w:r>
              <w:rPr>
                <w:rFonts w:hint="eastAsia" w:ascii="宋体" w:hAnsi="宋体"/>
                <w:b/>
                <w:color w:val="000000" w:themeColor="text1"/>
                <w:sz w:val="20"/>
                <w:szCs w:val="20"/>
                <w:u w:val="single"/>
              </w:rPr>
              <w:t>质检</w:t>
            </w:r>
            <w:r>
              <w:rPr>
                <w:rFonts w:hint="eastAsia" w:ascii="宋体" w:hAnsi="宋体"/>
                <w:b/>
                <w:color w:val="000000" w:themeColor="text1"/>
                <w:sz w:val="20"/>
                <w:szCs w:val="20"/>
                <w:u w:val="single"/>
                <w:lang w:eastAsia="zh-CN"/>
              </w:rPr>
              <w:t>、</w:t>
            </w:r>
            <w:r>
              <w:rPr>
                <w:rFonts w:hint="eastAsia" w:ascii="宋体" w:hAnsi="宋体"/>
                <w:b/>
                <w:color w:val="000000" w:themeColor="text1"/>
                <w:sz w:val="20"/>
                <w:szCs w:val="20"/>
                <w:u w:val="single"/>
              </w:rPr>
              <w:t>销售</w:t>
            </w:r>
            <w:r>
              <w:rPr>
                <w:rFonts w:hint="eastAsia" w:ascii="宋体" w:hAnsi="宋体"/>
                <w:b/>
                <w:color w:val="000000" w:themeColor="text1"/>
                <w:sz w:val="20"/>
                <w:szCs w:val="20"/>
                <w:u w:val="single"/>
                <w:lang w:eastAsia="zh-CN"/>
              </w:rPr>
              <w:t>、</w:t>
            </w:r>
            <w:r>
              <w:rPr>
                <w:rFonts w:hint="eastAsia" w:ascii="宋体" w:hAnsi="宋体"/>
                <w:b/>
                <w:color w:val="000000" w:themeColor="text1"/>
                <w:sz w:val="20"/>
                <w:szCs w:val="20"/>
                <w:u w:val="single"/>
              </w:rPr>
              <w:t>售后</w:t>
            </w:r>
            <w:r>
              <w:rPr>
                <w:rFonts w:hint="eastAsia" w:ascii="宋体" w:hAnsi="宋体"/>
                <w:b/>
                <w:color w:val="000000" w:themeColor="text1"/>
                <w:sz w:val="20"/>
                <w:szCs w:val="20"/>
                <w:u w:val="single"/>
                <w:lang w:eastAsia="zh-CN"/>
              </w:rPr>
              <w:t>；</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u w:val="single"/>
              </w:rPr>
              <w:t xml:space="preserve">  销售</w:t>
            </w:r>
          </w:p>
          <w:p>
            <w:pPr>
              <w:tabs>
                <w:tab w:val="left" w:pos="540"/>
              </w:tabs>
              <w:spacing w:line="360" w:lineRule="auto"/>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Q8.3</w:t>
            </w:r>
            <w:r>
              <w:rPr>
                <w:rFonts w:hint="eastAsia" w:ascii="宋体" w:hAnsi="宋体"/>
                <w:b/>
                <w:color w:val="000000" w:themeColor="text1"/>
                <w:sz w:val="20"/>
                <w:szCs w:val="20"/>
              </w:rPr>
              <w:t xml:space="preserve">  ，不适用理由：</w:t>
            </w:r>
            <w:r>
              <w:rPr>
                <w:rFonts w:hint="eastAsia" w:ascii="宋体" w:hAnsi="宋体" w:cs="Arial"/>
                <w:color w:val="auto"/>
                <w:spacing w:val="-6"/>
                <w:sz w:val="21"/>
                <w:szCs w:val="21"/>
                <w:u w:val="single"/>
                <w:lang w:val="en-US" w:eastAsia="zh-CN"/>
              </w:rPr>
              <w:t>公司办公用品、体育用品、日用品、劳动保护用品、文具用品、纸制品的销售及其所涉及的相关销售服务活动均参照行业标准、企业规范及客户提供的尺寸、工艺要求组织货源，提供销售服务，其销售过程不涉及GB/T19001-2016/ISO 9001:2015标准中8.3条款内容，删减8.3条款不影响公司确保其产品和服务合格的能力和责任，对增强顾客满意也不会产生影响。</w:t>
            </w:r>
            <w:r>
              <w:rPr>
                <w:rFonts w:hint="eastAsia" w:ascii="宋体" w:hAnsi="宋体"/>
                <w:b/>
                <w:color w:val="000000" w:themeColor="text1"/>
                <w:sz w:val="20"/>
                <w:szCs w:val="20"/>
              </w:rPr>
              <w:t xml:space="preserve">         </w:t>
            </w:r>
          </w:p>
          <w:p>
            <w:pPr>
              <w:tabs>
                <w:tab w:val="left" w:pos="540"/>
              </w:tabs>
              <w:spacing w:line="360" w:lineRule="auto"/>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720" w:type="dxa"/>
            <w:vMerge w:val="continue"/>
            <w:vAlign w:val="center"/>
          </w:tcPr>
          <w:p>
            <w:pPr>
              <w:spacing w:line="360" w:lineRule="auto"/>
              <w:jc w:val="center"/>
              <w:rPr>
                <w:b/>
                <w:color w:val="000000" w:themeColor="text1"/>
                <w:sz w:val="20"/>
              </w:rPr>
            </w:pPr>
          </w:p>
        </w:tc>
        <w:tc>
          <w:tcPr>
            <w:tcW w:w="9198" w:type="dxa"/>
          </w:tcPr>
          <w:p>
            <w:pPr>
              <w:spacing w:line="360" w:lineRule="auto"/>
            </w:pPr>
            <w:r>
              <w:rPr>
                <w:rFonts w:hint="eastAsia"/>
              </w:rPr>
              <w:t xml:space="preserve">6. </w:t>
            </w:r>
            <w:r>
              <w:t>EMS</w:t>
            </w:r>
            <w:r>
              <w:rPr>
                <w:rFonts w:hint="eastAsia"/>
              </w:rPr>
              <w:t>环境因素/</w:t>
            </w:r>
          </w:p>
          <w:p>
            <w:pPr>
              <w:adjustRightInd w:val="0"/>
              <w:snapToGrid w:val="0"/>
              <w:spacing w:line="360" w:lineRule="auto"/>
              <w:ind w:right="105" w:rightChars="50" w:firstLine="420" w:firstLineChars="200"/>
              <w:textAlignment w:val="baseline"/>
              <w:rPr>
                <w:rFonts w:hint="eastAsia"/>
              </w:rPr>
            </w:pPr>
            <w:r>
              <w:rPr>
                <w:rFonts w:hint="eastAsia"/>
              </w:rPr>
              <w:t>（环境因素辨识是否充分、重要环境因素评价合理性，以及环境因素动态变更的及时性等）</w:t>
            </w:r>
          </w:p>
          <w:p>
            <w:pPr>
              <w:adjustRightInd w:val="0"/>
              <w:snapToGrid w:val="0"/>
              <w:spacing w:line="360" w:lineRule="auto"/>
              <w:ind w:right="105" w:rightChars="50" w:firstLine="420" w:firstLineChars="200"/>
              <w:textAlignment w:val="baseline"/>
              <w:rPr>
                <w:rFonts w:hint="eastAsia"/>
              </w:rPr>
            </w:pPr>
            <w:r>
              <w:rPr>
                <w:rFonts w:hint="eastAsia"/>
                <w:lang w:val="en-US" w:eastAsia="zh-CN"/>
              </w:rPr>
              <w:t>重要环境因素：</w:t>
            </w:r>
            <w:r>
              <w:rPr>
                <w:rFonts w:hint="eastAsia"/>
              </w:rPr>
              <w:t>潜在火灾、能源消耗、固废排放</w:t>
            </w:r>
          </w:p>
          <w:p>
            <w:pPr>
              <w:pStyle w:val="2"/>
              <w:spacing w:line="360" w:lineRule="auto"/>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识别基本充分、合理。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20" w:type="dxa"/>
            <w:vMerge w:val="continue"/>
            <w:vAlign w:val="center"/>
          </w:tcPr>
          <w:p>
            <w:pPr>
              <w:spacing w:line="360" w:lineRule="auto"/>
              <w:jc w:val="center"/>
              <w:rPr>
                <w:b/>
                <w:color w:val="000000" w:themeColor="text1"/>
                <w:sz w:val="20"/>
              </w:rPr>
            </w:pPr>
          </w:p>
        </w:tc>
        <w:tc>
          <w:tcPr>
            <w:tcW w:w="9198" w:type="dxa"/>
          </w:tcPr>
          <w:p>
            <w:pPr>
              <w:spacing w:line="360" w:lineRule="auto"/>
            </w:pPr>
            <w:r>
              <w:rPr>
                <w:rFonts w:hint="eastAsia"/>
              </w:rPr>
              <w:t xml:space="preserve">7. </w:t>
            </w:r>
            <w:r>
              <w:t>OHSMS</w:t>
            </w:r>
            <w:r>
              <w:rPr>
                <w:rFonts w:hint="eastAsia"/>
              </w:rPr>
              <w:t>职业健康安全危险源</w:t>
            </w:r>
          </w:p>
          <w:p>
            <w:pPr>
              <w:adjustRightInd w:val="0"/>
              <w:snapToGrid w:val="0"/>
              <w:spacing w:line="360" w:lineRule="auto"/>
              <w:ind w:right="105" w:rightChars="50" w:firstLine="420" w:firstLineChars="200"/>
              <w:textAlignment w:val="baseline"/>
              <w:rPr>
                <w:rFonts w:hint="eastAsia"/>
              </w:rPr>
            </w:pPr>
            <w:r>
              <w:rPr>
                <w:rFonts w:hint="eastAsia"/>
              </w:rPr>
              <w:t>（职业健康安全危险源辨识是否充分、风险评价合理性，以及风险评价动态变更的及时性等）</w:t>
            </w:r>
          </w:p>
          <w:p>
            <w:pPr>
              <w:adjustRightInd w:val="0"/>
              <w:snapToGrid w:val="0"/>
              <w:spacing w:line="360" w:lineRule="auto"/>
              <w:ind w:right="105" w:rightChars="50" w:firstLine="420" w:firstLineChars="200"/>
              <w:textAlignment w:val="baseline"/>
              <w:rPr>
                <w:rFonts w:hint="eastAsia"/>
              </w:rPr>
            </w:pPr>
            <w:r>
              <w:rPr>
                <w:rFonts w:hint="eastAsia"/>
              </w:rPr>
              <w:t>不可接受风险：触电伤害、潜在火灾、交通意外伤害；</w:t>
            </w:r>
          </w:p>
          <w:p>
            <w:pPr>
              <w:adjustRightInd w:val="0"/>
              <w:snapToGrid w:val="0"/>
              <w:spacing w:line="360" w:lineRule="auto"/>
              <w:ind w:right="105" w:rightChars="50" w:firstLine="420" w:firstLineChars="200"/>
              <w:textAlignment w:val="baseline"/>
            </w:pPr>
            <w:r>
              <w:rPr>
                <w:rFonts w:hint="eastAsia"/>
                <w:lang w:val="en-US" w:eastAsia="zh-CN"/>
              </w:rPr>
              <w:t>识别基本充分、合理。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360" w:lineRule="auto"/>
              <w:jc w:val="center"/>
              <w:rPr>
                <w:b/>
                <w:color w:val="000000" w:themeColor="text1"/>
                <w:sz w:val="20"/>
              </w:rPr>
            </w:pPr>
          </w:p>
        </w:tc>
        <w:tc>
          <w:tcPr>
            <w:tcW w:w="9198" w:type="dxa"/>
          </w:tcPr>
          <w:p>
            <w:pPr>
              <w:spacing w:line="360" w:lineRule="auto"/>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pStyle w:val="11"/>
              <w:numPr>
                <w:ilvl w:val="0"/>
                <w:numId w:val="2"/>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法律法规的宣传方式：</w:t>
            </w:r>
          </w:p>
          <w:p>
            <w:pPr>
              <w:pStyle w:val="11"/>
              <w:numPr>
                <w:ilvl w:val="0"/>
                <w:numId w:val="2"/>
              </w:numPr>
              <w:tabs>
                <w:tab w:val="left" w:pos="540"/>
              </w:tabs>
              <w:spacing w:line="360" w:lineRule="auto"/>
              <w:ind w:firstLineChars="0"/>
              <w:rPr>
                <w:b/>
                <w:color w:val="000000" w:themeColor="text1"/>
                <w:sz w:val="14"/>
                <w:szCs w:val="14"/>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360" w:lineRule="auto"/>
              <w:jc w:val="center"/>
              <w:rPr>
                <w:b/>
                <w:color w:val="000000" w:themeColor="text1"/>
                <w:sz w:val="20"/>
              </w:rPr>
            </w:pPr>
          </w:p>
        </w:tc>
        <w:tc>
          <w:tcPr>
            <w:tcW w:w="9198" w:type="dxa"/>
          </w:tcPr>
          <w:p>
            <w:pPr>
              <w:spacing w:line="360" w:lineRule="auto"/>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60" w:lineRule="auto"/>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质量目标：1、交货及时率≥95%；    2、顾客满意度≥92分；</w:t>
            </w:r>
          </w:p>
          <w:p>
            <w:pPr>
              <w:spacing w:line="360" w:lineRule="auto"/>
              <w:ind w:firstLine="420" w:firstLineChars="200"/>
              <w:rPr>
                <w:rFonts w:hint="eastAsia"/>
              </w:rPr>
            </w:pPr>
            <w:r>
              <w:rPr>
                <w:rFonts w:hint="eastAsia" w:ascii="Times New Roman" w:hAnsi="Times New Roman" w:eastAsia="宋体" w:cs="Times New Roman"/>
                <w:color w:val="auto"/>
                <w:szCs w:val="22"/>
              </w:rPr>
              <w:t>环境目标：固体废弃物分类处理率100%；火灾事故为0；</w:t>
            </w:r>
          </w:p>
          <w:p>
            <w:pPr>
              <w:spacing w:line="360" w:lineRule="auto"/>
              <w:ind w:firstLine="420" w:firstLineChars="200"/>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职业健康安全目标：火灾事故为0；交通意外伤害为0。</w:t>
            </w:r>
          </w:p>
          <w:p>
            <w:pPr>
              <w:pStyle w:val="2"/>
              <w:spacing w:line="360" w:lineRule="auto"/>
              <w:rPr>
                <w:rFonts w:hint="eastAsia" w:cs="Times New Roman"/>
                <w:color w:val="auto"/>
                <w:szCs w:val="22"/>
                <w:lang w:val="en-US" w:eastAsia="zh-CN"/>
              </w:rPr>
            </w:pPr>
            <w:r>
              <w:rPr>
                <w:rFonts w:hint="eastAsia" w:cs="Times New Roman"/>
                <w:color w:val="auto"/>
                <w:szCs w:val="22"/>
                <w:lang w:val="en-US" w:eastAsia="zh-CN"/>
              </w:rPr>
              <w:t>策划了本公司的环境和安全管理方案和控制措施。</w:t>
            </w:r>
          </w:p>
          <w:p>
            <w:pPr>
              <w:pStyle w:val="2"/>
              <w:spacing w:line="360" w:lineRule="auto"/>
              <w:rPr>
                <w:rFonts w:ascii="宋体" w:hAnsi="宋体"/>
                <w:b/>
                <w:color w:val="000000" w:themeColor="text1"/>
              </w:rPr>
            </w:pPr>
            <w:r>
              <w:rPr>
                <w:rFonts w:hint="eastAsia" w:cs="Times New Roman"/>
                <w:color w:val="auto"/>
                <w:szCs w:val="22"/>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360" w:lineRule="auto"/>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60" w:lineRule="auto"/>
              <w:ind w:firstLine="420" w:firstLineChars="200"/>
              <w:rPr>
                <w:rFonts w:hint="default" w:cs="Times New Roman"/>
                <w:szCs w:val="22"/>
                <w:lang w:val="en-US" w:eastAsia="zh-CN"/>
              </w:rPr>
            </w:pPr>
            <w:r>
              <w:rPr>
                <w:rFonts w:hint="default" w:cs="Times New Roman"/>
                <w:szCs w:val="22"/>
                <w:lang w:val="en-US" w:eastAsia="zh-CN"/>
              </w:rPr>
              <w:t>体系文件包括：</w:t>
            </w:r>
          </w:p>
          <w:p>
            <w:pPr>
              <w:spacing w:line="360" w:lineRule="auto"/>
              <w:ind w:firstLine="420" w:firstLineChars="200"/>
              <w:rPr>
                <w:rFonts w:hint="default" w:cs="Times New Roman"/>
                <w:szCs w:val="22"/>
                <w:lang w:val="en-US" w:eastAsia="zh-CN"/>
              </w:rPr>
            </w:pPr>
            <w:r>
              <w:rPr>
                <w:rFonts w:hint="default" w:cs="Times New Roman"/>
                <w:szCs w:val="22"/>
                <w:lang w:val="en-US" w:eastAsia="zh-CN"/>
              </w:rPr>
              <w:t>管理手册——A/0，2020年11月25日</w:t>
            </w:r>
          </w:p>
          <w:p>
            <w:pPr>
              <w:spacing w:line="360" w:lineRule="auto"/>
              <w:ind w:firstLine="420" w:firstLineChars="200"/>
              <w:rPr>
                <w:rFonts w:hint="default" w:cs="Times New Roman"/>
                <w:szCs w:val="22"/>
                <w:lang w:val="en-US" w:eastAsia="zh-CN"/>
              </w:rPr>
            </w:pPr>
            <w:r>
              <w:rPr>
                <w:rFonts w:hint="default" w:cs="Times New Roman"/>
                <w:szCs w:val="22"/>
                <w:lang w:val="en-US" w:eastAsia="zh-CN"/>
              </w:rPr>
              <w:t>程序文件——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26个；</w:t>
            </w:r>
          </w:p>
          <w:p>
            <w:pPr>
              <w:spacing w:line="360" w:lineRule="auto"/>
              <w:ind w:firstLine="420" w:firstLineChars="200"/>
              <w:rPr>
                <w:rFonts w:hint="default" w:cs="Times New Roman"/>
                <w:szCs w:val="22"/>
                <w:lang w:val="en-US" w:eastAsia="zh-CN"/>
              </w:rPr>
            </w:pPr>
            <w:r>
              <w:rPr>
                <w:rFonts w:hint="default" w:cs="Times New Roman"/>
                <w:szCs w:val="22"/>
                <w:lang w:val="en-US" w:eastAsia="zh-CN"/>
              </w:rPr>
              <w:t>管理文件——安全教育管理制度、仓库安全管理制度、消防安全管理制度、劳动防护用品管理制度、职业健康体检管理制度、仓库管理制度、产品验收制度、售后服务管理制度、销售人员礼仪规范制度等10余个；</w:t>
            </w:r>
          </w:p>
          <w:p>
            <w:pPr>
              <w:spacing w:line="360" w:lineRule="auto"/>
              <w:ind w:firstLine="420" w:firstLineChars="200"/>
              <w:rPr>
                <w:rFonts w:hint="default" w:cs="Times New Roman"/>
                <w:szCs w:val="22"/>
                <w:lang w:val="en-US" w:eastAsia="zh-CN"/>
              </w:rPr>
            </w:pPr>
            <w:r>
              <w:rPr>
                <w:rFonts w:hint="default" w:cs="Times New Roman"/>
                <w:szCs w:val="22"/>
                <w:lang w:val="en-US" w:eastAsia="zh-CN"/>
              </w:rPr>
              <w:t>建立有外来文件清单，收集相关标准和法律等6个；交流；</w:t>
            </w:r>
          </w:p>
          <w:p>
            <w:pPr>
              <w:spacing w:line="360" w:lineRule="auto"/>
              <w:ind w:firstLine="420" w:firstLineChars="200"/>
              <w:rPr>
                <w:rFonts w:hint="default" w:cs="Times New Roman"/>
                <w:szCs w:val="22"/>
                <w:lang w:val="en-US" w:eastAsia="zh-CN"/>
              </w:rPr>
            </w:pPr>
            <w:r>
              <w:rPr>
                <w:rFonts w:hint="default" w:cs="Times New Roman"/>
                <w:szCs w:val="22"/>
                <w:lang w:val="en-US" w:eastAsia="zh-CN"/>
              </w:rPr>
              <w:t>建立环境、职业健康安全法律法规和其他要求清单，共91个。</w:t>
            </w:r>
          </w:p>
          <w:p>
            <w:pPr>
              <w:spacing w:line="360" w:lineRule="auto"/>
              <w:ind w:firstLine="396" w:firstLineChars="200"/>
              <w:rPr>
                <w:rFonts w:ascii="宋体" w:hAnsi="宋体"/>
                <w:b/>
                <w:color w:val="000000" w:themeColor="text1"/>
                <w:sz w:val="20"/>
                <w:szCs w:val="20"/>
              </w:rPr>
            </w:pPr>
            <w:r>
              <w:rPr>
                <w:rFonts w:hint="eastAsia" w:ascii="宋体" w:hAnsi="宋体" w:cs="Arial"/>
                <w:spacing w:val="-6"/>
                <w:sz w:val="21"/>
                <w:szCs w:val="21"/>
                <w:lang w:val="en-US" w:eastAsia="zh-CN"/>
              </w:rPr>
              <w:t>审核过程发现文件和记录有编审批，标识清晰，保管得当，检索便利，易于获取</w:t>
            </w:r>
            <w:r>
              <w:rPr>
                <w:rFonts w:hint="eastAsia" w:ascii="宋体" w:hAnsi="宋体"/>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360" w:lineRule="auto"/>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adjustRightInd w:val="0"/>
              <w:snapToGrid w:val="0"/>
              <w:spacing w:line="360" w:lineRule="auto"/>
              <w:ind w:right="105" w:rightChars="50" w:firstLine="420" w:firstLineChars="200"/>
              <w:textAlignment w:val="baseline"/>
              <w:rPr>
                <w:rFonts w:hint="eastAsia" w:ascii="宋体" w:hAnsi="宋体" w:cs="Arial"/>
                <w:spacing w:val="-6"/>
                <w:sz w:val="21"/>
                <w:szCs w:val="21"/>
                <w:lang w:val="en-US" w:eastAsia="zh-CN"/>
              </w:rPr>
            </w:pPr>
            <w:r>
              <w:rPr>
                <w:rFonts w:hint="eastAsia"/>
                <w:color w:val="auto"/>
                <w:highlight w:val="none"/>
                <w:lang w:val="en-US" w:eastAsia="zh-CN"/>
              </w:rPr>
              <w:t>公司现有人员10余名；签订有劳动合同；</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保留“年度培训计划”，计划举办</w:t>
            </w:r>
            <w:r>
              <w:rPr>
                <w:rFonts w:hint="eastAsia" w:ascii="Times New Roman" w:hAnsi="Times New Roman" w:eastAsia="宋体" w:cs="Times New Roman"/>
                <w:szCs w:val="22"/>
                <w:lang w:val="en-US" w:eastAsia="zh-CN"/>
              </w:rPr>
              <w:t>有体系标准</w:t>
            </w:r>
            <w:r>
              <w:rPr>
                <w:rFonts w:hint="eastAsia" w:cs="Times New Roman"/>
                <w:szCs w:val="22"/>
                <w:lang w:val="en-US" w:eastAsia="zh-CN"/>
              </w:rPr>
              <w:t>和</w:t>
            </w:r>
            <w:r>
              <w:rPr>
                <w:rFonts w:hint="eastAsia" w:ascii="Times New Roman" w:hAnsi="Times New Roman" w:eastAsia="宋体" w:cs="Times New Roman"/>
                <w:szCs w:val="22"/>
                <w:lang w:val="en-US" w:eastAsia="zh-CN"/>
              </w:rPr>
              <w:t>应知内容</w:t>
            </w:r>
            <w:r>
              <w:rPr>
                <w:rFonts w:hint="eastAsia" w:cs="Times New Roman"/>
                <w:szCs w:val="22"/>
                <w:lang w:val="en-US" w:eastAsia="zh-CN"/>
              </w:rPr>
              <w:t>、</w:t>
            </w:r>
            <w:r>
              <w:rPr>
                <w:rFonts w:hint="eastAsia" w:ascii="Times New Roman" w:hAnsi="Times New Roman" w:eastAsia="宋体" w:cs="Times New Roman"/>
                <w:szCs w:val="22"/>
                <w:lang w:val="en-US" w:eastAsia="zh-CN"/>
              </w:rPr>
              <w:t>公司管理制度培训</w:t>
            </w:r>
            <w:r>
              <w:rPr>
                <w:rFonts w:hint="eastAsia" w:cs="Times New Roman"/>
                <w:szCs w:val="22"/>
                <w:lang w:val="en-US" w:eastAsia="zh-CN"/>
              </w:rPr>
              <w:t>、</w:t>
            </w:r>
            <w:r>
              <w:rPr>
                <w:rFonts w:hint="eastAsia" w:ascii="Times New Roman" w:hAnsi="Times New Roman" w:eastAsia="宋体" w:cs="Times New Roman"/>
                <w:szCs w:val="22"/>
                <w:lang w:val="en-US" w:eastAsia="zh-CN"/>
              </w:rPr>
              <w:t>环境</w:t>
            </w:r>
            <w:r>
              <w:rPr>
                <w:rFonts w:hint="eastAsia" w:cs="Times New Roman"/>
                <w:szCs w:val="22"/>
                <w:lang w:val="en-US" w:eastAsia="zh-CN"/>
              </w:rPr>
              <w:t>/</w:t>
            </w:r>
            <w:r>
              <w:rPr>
                <w:rFonts w:hint="eastAsia" w:ascii="Times New Roman" w:hAnsi="Times New Roman" w:eastAsia="宋体" w:cs="Times New Roman"/>
                <w:szCs w:val="22"/>
                <w:lang w:val="en-US" w:eastAsia="zh-CN"/>
              </w:rPr>
              <w:t>安全法律法规的培训</w:t>
            </w:r>
            <w:r>
              <w:rPr>
                <w:rFonts w:hint="eastAsia" w:cs="Times New Roman"/>
                <w:szCs w:val="22"/>
                <w:lang w:val="en-US" w:eastAsia="zh-CN"/>
              </w:rPr>
              <w:t>、</w:t>
            </w:r>
            <w:r>
              <w:rPr>
                <w:rFonts w:hint="eastAsia" w:ascii="Times New Roman" w:hAnsi="Times New Roman" w:eastAsia="宋体" w:cs="Times New Roman"/>
                <w:szCs w:val="22"/>
                <w:lang w:val="en-US" w:eastAsia="zh-CN"/>
              </w:rPr>
              <w:t>销售员在外注意事项的培训</w:t>
            </w:r>
            <w:r>
              <w:rPr>
                <w:rFonts w:hint="eastAsia" w:cs="Times New Roman"/>
                <w:szCs w:val="22"/>
                <w:lang w:val="en-US" w:eastAsia="zh-CN"/>
              </w:rPr>
              <w:t>、</w:t>
            </w:r>
            <w:r>
              <w:rPr>
                <w:rFonts w:hint="eastAsia" w:ascii="Times New Roman" w:hAnsi="Times New Roman" w:eastAsia="宋体" w:cs="Times New Roman"/>
                <w:szCs w:val="22"/>
                <w:lang w:val="en-US" w:eastAsia="zh-CN"/>
              </w:rPr>
              <w:t>上下班道路安全教育的培训等</w:t>
            </w:r>
            <w:r>
              <w:rPr>
                <w:rFonts w:hint="eastAsia" w:cs="Times New Roman"/>
                <w:szCs w:val="22"/>
                <w:lang w:val="en-US" w:eastAsia="zh-CN"/>
              </w:rPr>
              <w:t>8</w:t>
            </w:r>
            <w:r>
              <w:rPr>
                <w:rFonts w:hint="eastAsia" w:ascii="Times New Roman" w:hAnsi="Times New Roman" w:eastAsia="宋体" w:cs="Times New Roman"/>
                <w:szCs w:val="22"/>
                <w:lang w:val="en-US" w:eastAsia="zh-CN"/>
              </w:rPr>
              <w:t>项</w:t>
            </w:r>
            <w:r>
              <w:rPr>
                <w:rFonts w:hint="eastAsia" w:ascii="宋体" w:hAnsi="宋体" w:cs="Arial"/>
                <w:spacing w:val="-6"/>
                <w:sz w:val="21"/>
                <w:szCs w:val="21"/>
                <w:lang w:val="en-US" w:eastAsia="zh-CN"/>
              </w:rPr>
              <w:t>次；</w:t>
            </w:r>
          </w:p>
          <w:p>
            <w:pPr>
              <w:adjustRightInd w:val="0"/>
              <w:snapToGrid w:val="0"/>
              <w:spacing w:line="360" w:lineRule="auto"/>
              <w:ind w:right="105" w:rightChars="50" w:firstLine="396" w:firstLineChars="200"/>
              <w:textAlignment w:val="baseline"/>
              <w:rPr>
                <w:rFonts w:ascii="宋体" w:hAnsi="宋体"/>
                <w:b/>
                <w:color w:val="000000" w:themeColor="text1"/>
                <w:sz w:val="20"/>
                <w:szCs w:val="20"/>
              </w:rPr>
            </w:pPr>
            <w:r>
              <w:rPr>
                <w:rFonts w:hint="eastAsia" w:ascii="宋体" w:hAnsi="宋体" w:cs="Arial"/>
                <w:spacing w:val="-6"/>
                <w:sz w:val="21"/>
                <w:szCs w:val="21"/>
                <w:lang w:val="en-US" w:eastAsia="zh-CN"/>
              </w:rPr>
              <w:t>保留“培训记录及培训效果评价表”，计划培训项目均已按期执行，通过口试进行考核，进行了培训有效性评价。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ind w:firstLine="420" w:firstLineChars="200"/>
              <w:rPr>
                <w:rFonts w:ascii="宋体" w:hAnsi="宋体"/>
                <w:b/>
                <w:color w:val="000000" w:themeColor="text1"/>
                <w:sz w:val="20"/>
                <w:szCs w:val="20"/>
              </w:rPr>
            </w:pPr>
            <w:r>
              <w:rPr>
                <w:rFonts w:hint="eastAsia" w:cs="Times New Roman"/>
                <w:szCs w:val="22"/>
                <w:highlight w:val="none"/>
                <w:lang w:val="en-US" w:eastAsia="zh-CN"/>
              </w:rPr>
              <w:t>设施</w:t>
            </w:r>
            <w:r>
              <w:rPr>
                <w:rFonts w:hint="eastAsia" w:ascii="Times New Roman" w:hAnsi="Times New Roman" w:eastAsia="宋体" w:cs="Times New Roman"/>
                <w:szCs w:val="22"/>
                <w:highlight w:val="none"/>
                <w:lang w:val="en-US" w:eastAsia="zh-CN"/>
              </w:rPr>
              <w:t>设备有办公桌、文件柜、复印机、电脑、打印机、配送车辆</w:t>
            </w:r>
            <w:r>
              <w:rPr>
                <w:rFonts w:hint="eastAsia" w:cs="Times New Roman"/>
                <w:szCs w:val="22"/>
                <w:highlight w:val="none"/>
                <w:lang w:val="en-US" w:eastAsia="zh-CN"/>
              </w:rPr>
              <w:t>、液压升降机、手推车、销售系统</w:t>
            </w:r>
            <w:r>
              <w:rPr>
                <w:rFonts w:hint="eastAsia" w:ascii="Times New Roman" w:hAnsi="Times New Roman" w:eastAsia="宋体" w:cs="Times New Roman"/>
                <w:szCs w:val="22"/>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7" w:hRule="atLeast"/>
          <w:jc w:val="center"/>
        </w:trPr>
        <w:tc>
          <w:tcPr>
            <w:tcW w:w="720" w:type="dxa"/>
            <w:vMerge w:val="continue"/>
            <w:textDirection w:val="tbRlV"/>
            <w:vAlign w:val="center"/>
          </w:tcPr>
          <w:p>
            <w:pPr>
              <w:spacing w:line="360" w:lineRule="auto"/>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ind w:firstLine="420" w:firstLineChars="200"/>
              <w:rPr>
                <w:rFonts w:hint="eastAsia" w:cs="Times New Roman"/>
                <w:szCs w:val="22"/>
                <w:lang w:val="en-US" w:eastAsia="zh-CN"/>
              </w:rPr>
            </w:pPr>
            <w:r>
              <w:rPr>
                <w:rFonts w:hint="eastAsia" w:cs="Times New Roman"/>
                <w:szCs w:val="22"/>
                <w:lang w:val="en-US" w:eastAsia="zh-CN"/>
              </w:rPr>
              <w:t>现场观察，办公面积约300平方米，分区设置，配置的办公桌符合人机工程要求，干净整洁，照明、通风良好；配置有空调，温度适宜；按要求设置有灭火器；有少量绿植；</w:t>
            </w:r>
          </w:p>
          <w:p>
            <w:pPr>
              <w:pStyle w:val="2"/>
              <w:spacing w:line="360" w:lineRule="auto"/>
              <w:rPr>
                <w:rFonts w:hint="default"/>
                <w:lang w:val="en-US" w:eastAsia="zh-CN"/>
              </w:rPr>
            </w:pPr>
            <w:r>
              <w:rPr>
                <w:rFonts w:hint="eastAsia"/>
                <w:lang w:val="en-US" w:eastAsia="zh-CN"/>
              </w:rPr>
              <w:t>查见配置有灭火器，状态良好；监控摄像头运行正常；设置有火灾联网报警装置；</w:t>
            </w:r>
          </w:p>
          <w:p>
            <w:pPr>
              <w:pStyle w:val="2"/>
              <w:spacing w:line="360" w:lineRule="auto"/>
              <w:rPr>
                <w:rFonts w:hint="eastAsia"/>
                <w:lang w:val="en-US" w:eastAsia="zh-CN"/>
              </w:rPr>
            </w:pPr>
            <w:r>
              <w:rPr>
                <w:rFonts w:hint="eastAsia"/>
                <w:lang w:val="en-US" w:eastAsia="zh-CN"/>
              </w:rPr>
              <w:t>节约用水用电、纸张双面使用、禁止吸烟、无乱拉乱接电线、无超额电器使用；</w:t>
            </w:r>
          </w:p>
          <w:p>
            <w:pPr>
              <w:pStyle w:val="2"/>
              <w:spacing w:line="360" w:lineRule="auto"/>
              <w:rPr>
                <w:rFonts w:hint="eastAsia"/>
                <w:lang w:val="en-US" w:eastAsia="zh-CN"/>
              </w:rPr>
            </w:pPr>
            <w:r>
              <w:rPr>
                <w:rFonts w:hint="eastAsia"/>
                <w:lang w:val="en-US" w:eastAsia="zh-CN"/>
              </w:rPr>
              <w:t>不定期对员工进行交通安全宣传；</w:t>
            </w:r>
          </w:p>
          <w:p>
            <w:pPr>
              <w:pStyle w:val="2"/>
              <w:spacing w:line="360" w:lineRule="auto"/>
              <w:rPr>
                <w:rFonts w:hint="default"/>
                <w:lang w:val="en-US" w:eastAsia="zh-CN"/>
              </w:rPr>
            </w:pPr>
            <w:r>
              <w:rPr>
                <w:rFonts w:hint="eastAsia"/>
                <w:lang w:val="en-US" w:eastAsia="zh-CN"/>
              </w:rPr>
              <w:t>驾驶员穿反光背心作业；</w:t>
            </w:r>
          </w:p>
          <w:p>
            <w:pPr>
              <w:pStyle w:val="2"/>
              <w:spacing w:line="360" w:lineRule="auto"/>
              <w:rPr>
                <w:rFonts w:hint="eastAsia"/>
                <w:lang w:val="en-US" w:eastAsia="zh-CN"/>
              </w:rPr>
            </w:pPr>
            <w:r>
              <w:rPr>
                <w:rFonts w:hint="eastAsia"/>
                <w:lang w:val="en-US" w:eastAsia="zh-CN"/>
              </w:rPr>
              <w:t>生活废水经市政管网排放；无工业废水；</w:t>
            </w:r>
          </w:p>
          <w:p>
            <w:pPr>
              <w:pStyle w:val="2"/>
              <w:spacing w:line="360" w:lineRule="auto"/>
              <w:rPr>
                <w:rFonts w:hint="eastAsia"/>
                <w:lang w:val="en-US" w:eastAsia="zh-CN"/>
              </w:rPr>
            </w:pPr>
            <w:r>
              <w:rPr>
                <w:rFonts w:hint="eastAsia"/>
                <w:lang w:val="en-US" w:eastAsia="zh-CN"/>
              </w:rPr>
              <w:t>办公环境安静，无明显噪声和废气；</w:t>
            </w:r>
          </w:p>
          <w:p>
            <w:pPr>
              <w:pStyle w:val="2"/>
              <w:spacing w:line="360" w:lineRule="auto"/>
              <w:rPr>
                <w:rFonts w:hint="eastAsia"/>
                <w:lang w:val="en-US" w:eastAsia="zh-CN"/>
              </w:rPr>
            </w:pPr>
            <w:r>
              <w:rPr>
                <w:rFonts w:hint="eastAsia"/>
                <w:lang w:val="en-US" w:eastAsia="zh-CN"/>
              </w:rPr>
              <w:t>办公用固废集中回收，市政环卫部门收集处理；</w:t>
            </w:r>
          </w:p>
          <w:p>
            <w:pPr>
              <w:pStyle w:val="2"/>
              <w:spacing w:line="360" w:lineRule="auto"/>
              <w:rPr>
                <w:rFonts w:hint="eastAsia"/>
                <w:lang w:val="en-US" w:eastAsia="zh-CN"/>
              </w:rPr>
            </w:pPr>
            <w:r>
              <w:rPr>
                <w:rFonts w:hint="eastAsia"/>
                <w:lang w:val="en-US" w:eastAsia="zh-CN"/>
              </w:rPr>
              <w:t>办公用墨盒硒鼓等危废以旧换新。</w:t>
            </w:r>
          </w:p>
          <w:p>
            <w:pPr>
              <w:pStyle w:val="2"/>
              <w:spacing w:line="360" w:lineRule="auto"/>
              <w:rPr>
                <w:rFonts w:ascii="宋体" w:hAnsi="宋体"/>
                <w:b/>
                <w:color w:val="000000" w:themeColor="text1"/>
                <w:sz w:val="20"/>
                <w:szCs w:val="20"/>
              </w:rPr>
            </w:pPr>
            <w:r>
              <w:rPr>
                <w:rFonts w:hint="eastAsia" w:cs="Times New Roman"/>
                <w:szCs w:val="22"/>
                <w:lang w:val="en-US" w:eastAsia="zh-CN"/>
              </w:rPr>
              <w:t>员工关系和谐，墙面张贴有文化宣传活动的资料，与设计人员交流时，情绪愉快。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360" w:lineRule="auto"/>
              <w:ind w:left="113" w:right="113"/>
              <w:jc w:val="center"/>
              <w:rPr>
                <w:b/>
                <w:color w:val="000000" w:themeColor="text1"/>
                <w:szCs w:val="21"/>
              </w:rPr>
            </w:pPr>
          </w:p>
        </w:tc>
        <w:tc>
          <w:tcPr>
            <w:tcW w:w="9198" w:type="dxa"/>
          </w:tcPr>
          <w:p>
            <w:pPr>
              <w:spacing w:line="360" w:lineRule="auto"/>
              <w:rPr>
                <w:rFonts w:hint="eastAsia"/>
              </w:rPr>
            </w:pPr>
            <w:r>
              <w:rPr>
                <w:rFonts w:hint="eastAsia"/>
              </w:rPr>
              <w:t>监视和测量资源</w:t>
            </w:r>
          </w:p>
          <w:p>
            <w:pPr>
              <w:pStyle w:val="2"/>
              <w:spacing w:line="360" w:lineRule="auto"/>
            </w:pPr>
            <w:r>
              <w:rPr>
                <w:rFonts w:hint="eastAsia" w:cs="Times New Roman"/>
                <w:szCs w:val="22"/>
                <w:lang w:val="en-US" w:eastAsia="zh-CN"/>
              </w:rPr>
              <w:t>本公司的监视测量装置主要是顾客满意度调查表等，正常使用，无需校准和检测。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Cs w:val="21"/>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spacing w:line="360" w:lineRule="auto"/>
              <w:ind w:firstLine="420" w:firstLineChars="200"/>
              <w:rPr>
                <w:rFonts w:hint="eastAsia" w:cs="Times New Roman"/>
                <w:szCs w:val="22"/>
                <w:lang w:val="en-US" w:eastAsia="zh-CN"/>
              </w:rPr>
            </w:pPr>
            <w:r>
              <w:rPr>
                <w:rFonts w:hint="eastAsia" w:cs="Times New Roman"/>
                <w:szCs w:val="22"/>
                <w:lang w:val="en-US" w:eastAsia="zh-CN"/>
              </w:rPr>
              <w:t>公司的组织知识主要包括：收集的各种知识、法律法规以及转换形成各种规章制度、设计规范等，积累的管理制度、体系文件、支持性文件、各种记录表单，以前的设计资料、外部学习的资料、从顾客或外部供方收集的知识等；</w:t>
            </w:r>
          </w:p>
          <w:p>
            <w:pPr>
              <w:spacing w:line="360" w:lineRule="auto"/>
              <w:ind w:firstLine="420" w:firstLineChars="200"/>
              <w:rPr>
                <w:rFonts w:ascii="宋体" w:hAnsi="宋体"/>
                <w:b/>
                <w:color w:val="000000" w:themeColor="text1"/>
                <w:sz w:val="20"/>
                <w:szCs w:val="20"/>
              </w:rPr>
            </w:pPr>
            <w:r>
              <w:rPr>
                <w:rFonts w:hint="eastAsia" w:cs="Times New Roman"/>
                <w:szCs w:val="22"/>
                <w:lang w:val="en-US" w:eastAsia="zh-CN"/>
              </w:rPr>
              <w:t>公司把组织知识用于指导公司的日常工作和管理。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Cs w:val="21"/>
              </w:rPr>
            </w:pPr>
          </w:p>
        </w:tc>
        <w:tc>
          <w:tcPr>
            <w:tcW w:w="9198" w:type="dxa"/>
          </w:tcPr>
          <w:p>
            <w:pPr>
              <w:spacing w:line="360" w:lineRule="auto"/>
              <w:rPr>
                <w:rFonts w:hint="eastAsia"/>
              </w:rPr>
            </w:pPr>
            <w:r>
              <w:rPr>
                <w:rFonts w:hint="eastAsia"/>
              </w:rPr>
              <w:t>环保设施：</w:t>
            </w:r>
          </w:p>
          <w:p>
            <w:pPr>
              <w:pStyle w:val="2"/>
              <w:spacing w:line="360" w:lineRule="auto"/>
              <w:rPr>
                <w:rFonts w:hint="default" w:eastAsia="宋体"/>
                <w:lang w:val="en-US" w:eastAsia="zh-CN"/>
              </w:rPr>
            </w:pPr>
            <w:r>
              <w:rPr>
                <w:rFonts w:hint="eastAsia"/>
                <w:lang w:val="en-US" w:eastAsia="zh-CN"/>
              </w:rPr>
              <w:t>消防器材、警示标识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20" w:type="dxa"/>
            <w:vMerge w:val="continue"/>
            <w:textDirection w:val="tbRlV"/>
            <w:vAlign w:val="center"/>
          </w:tcPr>
          <w:p>
            <w:pPr>
              <w:spacing w:line="360" w:lineRule="auto"/>
              <w:ind w:left="113" w:right="113"/>
              <w:jc w:val="center"/>
              <w:rPr>
                <w:b/>
                <w:color w:val="000000" w:themeColor="text1"/>
                <w:szCs w:val="21"/>
              </w:rPr>
            </w:pPr>
          </w:p>
        </w:tc>
        <w:tc>
          <w:tcPr>
            <w:tcW w:w="9198" w:type="dxa"/>
          </w:tcPr>
          <w:p>
            <w:pPr>
              <w:spacing w:line="360" w:lineRule="auto"/>
              <w:rPr>
                <w:rFonts w:hint="eastAsia"/>
              </w:rPr>
            </w:pPr>
            <w:r>
              <w:rPr>
                <w:rFonts w:hint="eastAsia"/>
              </w:rPr>
              <w:t>职业健康安全设施：</w:t>
            </w:r>
          </w:p>
          <w:p>
            <w:pPr>
              <w:pStyle w:val="2"/>
              <w:spacing w:line="360" w:lineRule="auto"/>
            </w:pPr>
            <w:r>
              <w:rPr>
                <w:rFonts w:hint="eastAsia" w:ascii="宋体" w:hAnsi="宋体"/>
                <w:b w:val="0"/>
                <w:bCs/>
                <w:sz w:val="21"/>
                <w:szCs w:val="21"/>
                <w:lang w:val="en-US" w:eastAsia="zh-CN"/>
              </w:rPr>
              <w:t>消防器材、警示标识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360" w:lineRule="auto"/>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60" w:lineRule="auto"/>
              <w:rPr>
                <w:b/>
                <w:bCs/>
              </w:rPr>
            </w:pPr>
            <w:r>
              <w:rPr>
                <w:rFonts w:hint="eastAsia"/>
                <w:b/>
                <w:bCs/>
              </w:rPr>
              <w:t>1. 针对方针的管理职责评审</w:t>
            </w:r>
          </w:p>
          <w:p>
            <w:pPr>
              <w:spacing w:line="360" w:lineRule="auto"/>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2"/>
              <w:spacing w:line="360" w:lineRule="auto"/>
            </w:pPr>
            <w:r>
              <w:rPr>
                <w:rFonts w:hint="eastAsia" w:ascii="宋体" w:hAnsi="宋体" w:cs="Arial"/>
                <w:spacing w:val="-6"/>
                <w:sz w:val="21"/>
                <w:szCs w:val="21"/>
              </w:rPr>
              <w:t>方针符合组织的宗旨，一体化管理方针形成文件传达到全体员工，确保得到有效控制，使全体员工正确理解并坚决执行，且应定期对其适宜性进行评审。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360" w:lineRule="auto"/>
              <w:jc w:val="center"/>
              <w:rPr>
                <w:b/>
                <w:color w:val="000000" w:themeColor="text1"/>
                <w:szCs w:val="21"/>
              </w:rPr>
            </w:pPr>
          </w:p>
        </w:tc>
        <w:tc>
          <w:tcPr>
            <w:tcW w:w="9198" w:type="dxa"/>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ascii="楷体_GB2312" w:eastAsia="楷体_GB2312"/>
                <w:b/>
                <w:color w:val="000000" w:themeColor="text1"/>
                <w:sz w:val="20"/>
                <w:szCs w:val="20"/>
              </w:rPr>
            </w:pPr>
          </w:p>
          <w:p>
            <w:pPr>
              <w:spacing w:line="360" w:lineRule="auto"/>
              <w:rPr>
                <w:rFonts w:hint="eastAsia"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内部沟通的情况：内部沟通方式：借助于会议、电话、口头交流等方式使全体员工达到沟通和理解</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内部沟通的效果：有效。</w:t>
            </w:r>
          </w:p>
          <w:p>
            <w:pPr>
              <w:spacing w:line="360" w:lineRule="auto"/>
              <w:rPr>
                <w:rFonts w:ascii="楷体_GB2312" w:eastAsia="楷体_GB2312"/>
                <w:b/>
                <w:color w:val="000000" w:themeColor="text1"/>
                <w:sz w:val="20"/>
                <w:szCs w:val="20"/>
              </w:rPr>
            </w:pP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组织对外联络，关注顾客的感受情况（QMS）：顾客满意度评价、合同等</w:t>
            </w:r>
          </w:p>
          <w:p>
            <w:pPr>
              <w:spacing w:line="360" w:lineRule="auto"/>
              <w:rPr>
                <w:rFonts w:ascii="楷体_GB2312" w:eastAsia="楷体_GB2312"/>
                <w:b/>
                <w:color w:val="000000" w:themeColor="text1"/>
                <w:sz w:val="20"/>
                <w:szCs w:val="20"/>
              </w:rPr>
            </w:pPr>
          </w:p>
          <w:p>
            <w:pPr>
              <w:spacing w:line="360" w:lineRule="auto"/>
              <w:rPr>
                <w:rFonts w:hint="eastAsia"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行政部按建立的信息交流、协商和沟通控制程序及公司合规义务的要求，就三标一体化管理体系的相关信息进行外部信息交流，与进入工作场所的承包方和其他访问者进行沟通；接收、记录和回应来自外部相关方的相关沟通。</w:t>
            </w:r>
          </w:p>
          <w:p>
            <w:pPr>
              <w:spacing w:line="360" w:lineRule="auto"/>
              <w:rPr>
                <w:rFonts w:ascii="楷体_GB2312" w:eastAsia="楷体_GB2312"/>
                <w:b/>
                <w:color w:val="000000" w:themeColor="text1"/>
                <w:sz w:val="20"/>
                <w:szCs w:val="20"/>
              </w:rPr>
            </w:pPr>
          </w:p>
          <w:p>
            <w:pPr>
              <w:spacing w:line="360" w:lineRule="auto"/>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重要环境因素信息对外交流情况（EMS填写）：</w:t>
            </w:r>
            <w:r>
              <w:rPr>
                <w:rFonts w:hint="eastAsia" w:ascii="楷体_GB2312" w:eastAsia="楷体_GB2312"/>
                <w:b/>
                <w:color w:val="000000" w:themeColor="text1"/>
                <w:sz w:val="20"/>
                <w:szCs w:val="20"/>
                <w:lang w:val="en-US" w:eastAsia="zh-CN"/>
              </w:rPr>
              <w:t>文件传递</w:t>
            </w:r>
          </w:p>
          <w:p>
            <w:pPr>
              <w:spacing w:line="360" w:lineRule="auto"/>
              <w:rPr>
                <w:rFonts w:ascii="楷体_GB2312" w:eastAsia="楷体_GB2312"/>
                <w:b/>
                <w:color w:val="000000" w:themeColor="text1"/>
                <w:sz w:val="20"/>
                <w:szCs w:val="20"/>
              </w:rPr>
            </w:pP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OHSMS事务代表协商和交流的情况（OHSMS填写）：确定职业健康安全事务代表是钟佛玲，参与公司的职业健康安全事务。相关人员能够适当参与并协商办理公司经营管理及安全事务等工作。</w:t>
            </w:r>
          </w:p>
          <w:p>
            <w:pPr>
              <w:spacing w:line="360" w:lineRule="auto"/>
              <w:rPr>
                <w:rFonts w:ascii="楷体_GB2312" w:eastAsia="楷体_GB2312"/>
                <w:b/>
                <w:color w:val="000000" w:themeColor="text1"/>
                <w:szCs w:val="21"/>
              </w:rPr>
            </w:pPr>
          </w:p>
          <w:p>
            <w:pPr>
              <w:spacing w:line="360" w:lineRule="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与相关方协商的情况（OHSMS填写）：与相关方就有关职业健康安全事务进行协商，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rFonts w:hint="eastAsia"/>
                <w:b w:val="0"/>
                <w:bCs/>
                <w:color w:val="000000" w:themeColor="text1"/>
                <w:sz w:val="20"/>
                <w:szCs w:val="20"/>
              </w:rPr>
            </w:pPr>
            <w:r>
              <w:rPr>
                <w:rFonts w:hint="eastAsia"/>
                <w:b w:val="0"/>
                <w:bCs/>
                <w:color w:val="000000" w:themeColor="text1"/>
                <w:sz w:val="20"/>
                <w:szCs w:val="20"/>
              </w:rPr>
              <w:t>公司策划了销售服务流程：产品要求信息获取----产品要求评审-----签订合同----采购 -----检验------销售；</w:t>
            </w:r>
          </w:p>
          <w:p>
            <w:pPr>
              <w:spacing w:line="360" w:lineRule="auto"/>
              <w:rPr>
                <w:rFonts w:hint="eastAsia"/>
                <w:b w:val="0"/>
                <w:bCs/>
                <w:color w:val="000000" w:themeColor="text1"/>
                <w:sz w:val="20"/>
                <w:szCs w:val="20"/>
              </w:rPr>
            </w:pPr>
            <w:r>
              <w:rPr>
                <w:rFonts w:hint="eastAsia"/>
                <w:b w:val="0"/>
                <w:bCs/>
                <w:color w:val="000000" w:themeColor="text1"/>
                <w:sz w:val="20"/>
                <w:szCs w:val="20"/>
              </w:rPr>
              <w:t>制定了作业指导书《营销服务提供规范》、《营销服务质量的控制规范》、《售后服务规定》、《售后服务人员服务规范》；</w:t>
            </w:r>
          </w:p>
          <w:p>
            <w:pPr>
              <w:spacing w:line="360" w:lineRule="auto"/>
              <w:rPr>
                <w:b/>
                <w:color w:val="000000" w:themeColor="text1"/>
                <w:sz w:val="20"/>
                <w:szCs w:val="20"/>
              </w:rPr>
            </w:pPr>
            <w:r>
              <w:rPr>
                <w:rFonts w:hint="eastAsia"/>
                <w:b w:val="0"/>
                <w:bCs/>
                <w:color w:val="000000" w:themeColor="text1"/>
                <w:sz w:val="20"/>
                <w:szCs w:val="20"/>
              </w:rPr>
              <w:t>公司将销售过程定为需要确认的过程。查有《特殊过程确认记录表》对销售过程的人员、机械设备、材料、控制方法、环境等方面进行了过程确认，结论：可以满足过程能力的需求、提供合格的服务。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color w:val="000000" w:themeColor="text1"/>
                <w:szCs w:val="21"/>
              </w:rPr>
            </w:pPr>
          </w:p>
        </w:tc>
        <w:tc>
          <w:tcPr>
            <w:tcW w:w="9198" w:type="dxa"/>
          </w:tcPr>
          <w:p>
            <w:pPr>
              <w:spacing w:line="360" w:lineRule="auto"/>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rPr>
                <w:rFonts w:hint="eastAsia"/>
                <w:b w:val="0"/>
                <w:bCs/>
                <w:color w:val="000000" w:themeColor="text1"/>
                <w:sz w:val="20"/>
                <w:szCs w:val="20"/>
              </w:rPr>
            </w:pPr>
            <w:r>
              <w:rPr>
                <w:rFonts w:hint="eastAsia"/>
                <w:b w:val="0"/>
                <w:bCs/>
                <w:color w:val="000000" w:themeColor="text1"/>
                <w:sz w:val="20"/>
                <w:szCs w:val="20"/>
              </w:rPr>
              <w:t>执行标准《商品经营服务质量管理规范GB/T 16868-2009》和客户要求等</w:t>
            </w:r>
          </w:p>
          <w:p>
            <w:pPr>
              <w:rPr>
                <w:rFonts w:hint="eastAsia"/>
                <w:b w:val="0"/>
                <w:bCs/>
                <w:color w:val="000000" w:themeColor="text1"/>
                <w:sz w:val="20"/>
                <w:szCs w:val="20"/>
              </w:rPr>
            </w:pPr>
            <w:r>
              <w:rPr>
                <w:rFonts w:hint="eastAsia"/>
                <w:b w:val="0"/>
                <w:bCs/>
                <w:color w:val="000000" w:themeColor="text1"/>
                <w:sz w:val="20"/>
                <w:szCs w:val="20"/>
              </w:rPr>
              <w:t>公司编制并执行《销售规范制度》、《销售人员礼仪规范制度》等</w:t>
            </w:r>
          </w:p>
          <w:p>
            <w:pPr>
              <w:rPr>
                <w:rFonts w:hint="eastAsia"/>
                <w:b w:val="0"/>
                <w:bCs/>
                <w:color w:val="000000" w:themeColor="text1"/>
                <w:sz w:val="20"/>
                <w:szCs w:val="20"/>
                <w:lang w:val="en-US" w:eastAsia="zh-CN"/>
              </w:rPr>
            </w:pPr>
            <w:r>
              <w:rPr>
                <w:rFonts w:hint="eastAsia"/>
                <w:b w:val="0"/>
                <w:bCs/>
                <w:color w:val="000000" w:themeColor="text1"/>
                <w:sz w:val="20"/>
                <w:szCs w:val="20"/>
                <w:lang w:val="en-US" w:eastAsia="zh-CN"/>
              </w:rPr>
              <w:t>公司销售的产品经过检验，质量满足顾客要求。</w:t>
            </w:r>
          </w:p>
          <w:p>
            <w:pPr>
              <w:spacing w:line="360" w:lineRule="auto"/>
              <w:rPr>
                <w:b/>
                <w:color w:val="000000" w:themeColor="text1"/>
                <w:sz w:val="20"/>
                <w:szCs w:val="20"/>
              </w:rPr>
            </w:pPr>
            <w:r>
              <w:rPr>
                <w:rFonts w:hint="eastAsia"/>
                <w:b/>
                <w:color w:val="000000" w:themeColor="text1"/>
                <w:sz w:val="20"/>
                <w:szCs w:val="20"/>
              </w:rPr>
              <w:t>(应说明相关证据)：</w:t>
            </w:r>
          </w:p>
          <w:p>
            <w:pPr>
              <w:spacing w:line="360" w:lineRule="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360" w:lineRule="auto"/>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360" w:lineRule="auto"/>
              <w:rPr>
                <w:b/>
                <w:color w:val="000000" w:themeColor="text1"/>
                <w:sz w:val="20"/>
                <w:szCs w:val="20"/>
              </w:rPr>
            </w:pPr>
          </w:p>
          <w:p>
            <w:pPr>
              <w:spacing w:line="360" w:lineRule="auto"/>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360" w:lineRule="auto"/>
              <w:jc w:val="center"/>
              <w:rPr>
                <w:b/>
                <w:color w:val="000000" w:themeColor="text1"/>
                <w:szCs w:val="21"/>
              </w:rPr>
            </w:pPr>
          </w:p>
        </w:tc>
        <w:tc>
          <w:tcPr>
            <w:tcW w:w="9198" w:type="dxa"/>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rPr>
                <w:rFonts w:hint="eastAsia"/>
                <w:b w:val="0"/>
                <w:bCs/>
                <w:color w:val="000000" w:themeColor="text1"/>
                <w:sz w:val="20"/>
                <w:szCs w:val="20"/>
                <w:lang w:val="en-US" w:eastAsia="zh-CN"/>
              </w:rPr>
            </w:pPr>
            <w:r>
              <w:rPr>
                <w:rFonts w:hint="eastAsia"/>
                <w:b w:val="0"/>
                <w:bCs/>
                <w:color w:val="000000" w:themeColor="text1"/>
                <w:sz w:val="20"/>
                <w:szCs w:val="20"/>
                <w:lang w:val="en-US" w:eastAsia="zh-CN"/>
              </w:rPr>
              <w:t>公司在《不合格品控制程序》中，对不合格品的处置方式、处置的职责和权限、不合格的评审方式、让步接受的办法及责任部门等均作了规定。</w:t>
            </w:r>
          </w:p>
          <w:p>
            <w:pPr>
              <w:rPr>
                <w:rFonts w:hint="eastAsia"/>
                <w:b w:val="0"/>
                <w:bCs/>
                <w:color w:val="000000" w:themeColor="text1"/>
                <w:sz w:val="20"/>
                <w:szCs w:val="20"/>
                <w:lang w:val="en-US" w:eastAsia="zh-CN"/>
              </w:rPr>
            </w:pPr>
            <w:r>
              <w:rPr>
                <w:rFonts w:hint="eastAsia"/>
                <w:b w:val="0"/>
                <w:bCs/>
                <w:color w:val="000000" w:themeColor="text1"/>
                <w:sz w:val="20"/>
                <w:szCs w:val="20"/>
                <w:lang w:val="en-US" w:eastAsia="zh-CN"/>
              </w:rPr>
              <w:t>采购产品不合格品处置：一般作退货或调换处理，目前未发生采购产品不合格情况；存放搬运过程不合格品处置：返工处理，目前防护处理措施充分，未发生不合格情况；销售过程不合格品处置：一般返工处理；目前交付后未发生不合格。</w:t>
            </w:r>
          </w:p>
          <w:p>
            <w:pPr>
              <w:spacing w:line="360" w:lineRule="auto"/>
              <w:rPr>
                <w:b/>
                <w:color w:val="000000" w:themeColor="text1"/>
                <w:sz w:val="20"/>
                <w:szCs w:val="20"/>
              </w:rPr>
            </w:pPr>
            <w:r>
              <w:rPr>
                <w:rFonts w:hint="eastAsia"/>
                <w:b w:val="0"/>
                <w:bCs/>
                <w:color w:val="000000" w:themeColor="text1"/>
                <w:sz w:val="20"/>
                <w:szCs w:val="20"/>
                <w:lang w:val="en-US" w:eastAsia="zh-CN"/>
              </w:rPr>
              <w:t>企业不合格品控制基本有效。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jc w:val="center"/>
        </w:trPr>
        <w:tc>
          <w:tcPr>
            <w:tcW w:w="720" w:type="dxa"/>
            <w:vMerge w:val="continue"/>
            <w:vAlign w:val="center"/>
          </w:tcPr>
          <w:p>
            <w:pPr>
              <w:spacing w:line="360" w:lineRule="auto"/>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7. EMS组织对重要环境因素实施控制的结果</w:t>
            </w:r>
          </w:p>
          <w:p>
            <w:pPr>
              <w:spacing w:line="360" w:lineRule="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60" w:lineRule="auto"/>
              <w:rPr>
                <w:b/>
                <w:color w:val="000000" w:themeColor="text1"/>
                <w:sz w:val="20"/>
                <w:szCs w:val="20"/>
              </w:rPr>
            </w:pPr>
            <w:r>
              <w:rPr>
                <w:rFonts w:hint="eastAsia"/>
                <w:b w:val="0"/>
                <w:bCs/>
                <w:color w:val="000000" w:themeColor="text1"/>
                <w:sz w:val="20"/>
                <w:szCs w:val="20"/>
                <w:lang w:val="en-US" w:eastAsia="zh-CN"/>
              </w:rPr>
              <w:t>公司重要环境因素潜在火灾、固废排放、能源消耗</w:t>
            </w:r>
            <w:r>
              <w:rPr>
                <w:rFonts w:hint="eastAsia"/>
                <w:b w:val="0"/>
                <w:bCs/>
                <w:color w:val="000000" w:themeColor="text1"/>
                <w:sz w:val="20"/>
                <w:szCs w:val="20"/>
                <w:lang w:val="en-US" w:eastAsia="zh-CN"/>
              </w:rPr>
              <w:t>控制有效，未对周边环境和相关方产生任何影响。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continue"/>
            <w:vAlign w:val="center"/>
          </w:tcPr>
          <w:p>
            <w:pPr>
              <w:spacing w:line="360" w:lineRule="auto"/>
              <w:jc w:val="center"/>
              <w:rPr>
                <w:b/>
                <w:color w:val="000000" w:themeColor="text1"/>
                <w:szCs w:val="21"/>
              </w:rPr>
            </w:pPr>
          </w:p>
        </w:tc>
        <w:tc>
          <w:tcPr>
            <w:tcW w:w="9198" w:type="dxa"/>
          </w:tcPr>
          <w:p>
            <w:pPr>
              <w:spacing w:line="360" w:lineRule="auto"/>
              <w:rPr>
                <w:rFonts w:hint="eastAsia"/>
              </w:rPr>
            </w:pPr>
            <w:r>
              <w:rPr>
                <w:rFonts w:hint="eastAsia"/>
              </w:rPr>
              <w:t>8. OHSMS组织对不可接受风险实施控制的结果</w:t>
            </w:r>
          </w:p>
          <w:p>
            <w:pPr>
              <w:pStyle w:val="2"/>
              <w:spacing w:line="360" w:lineRule="auto"/>
            </w:pPr>
            <w:r>
              <w:rPr>
                <w:rFonts w:hint="eastAsia"/>
                <w:b w:val="0"/>
                <w:bCs/>
                <w:color w:val="000000" w:themeColor="text1"/>
                <w:sz w:val="20"/>
                <w:szCs w:val="20"/>
                <w:lang w:val="en-US" w:eastAsia="zh-CN"/>
              </w:rPr>
              <w:t>触电、火灾事故、交通意外伤害等不可接受风险控制有效，从未发生任何事故。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360" w:lineRule="auto"/>
              <w:jc w:val="center"/>
              <w:rPr>
                <w:b/>
                <w:color w:val="000000" w:themeColor="text1"/>
                <w:szCs w:val="21"/>
              </w:rPr>
            </w:pPr>
          </w:p>
        </w:tc>
        <w:tc>
          <w:tcPr>
            <w:tcW w:w="9198" w:type="dxa"/>
          </w:tcPr>
          <w:p>
            <w:pPr>
              <w:spacing w:line="360" w:lineRule="auto"/>
              <w:ind w:left="201" w:hanging="210" w:hangingChars="100"/>
            </w:pPr>
            <w:r>
              <w:rPr>
                <w:rFonts w:hint="eastAsia"/>
              </w:rPr>
              <w:t xml:space="preserve">9. 应急准备与相应活动的演练及对预案可行性的评价(当有规定时) </w:t>
            </w:r>
          </w:p>
          <w:p>
            <w:pPr>
              <w:spacing w:line="360" w:lineRule="auto"/>
              <w:ind w:firstLine="420" w:firstLineChars="200"/>
              <w:rPr>
                <w:rFonts w:hint="eastAsia"/>
              </w:rPr>
            </w:pPr>
            <w:r>
              <w:rPr>
                <w:rFonts w:hint="eastAsia"/>
              </w:rPr>
              <w:t>编制了《应急准备和响应程序》，确定的紧急情况有：火灾、触电等。建立了火灾、触电、疫情防控等应急预案，供销部组织的火灾、触电应急演习。</w:t>
            </w:r>
          </w:p>
          <w:p>
            <w:pPr>
              <w:pStyle w:val="2"/>
              <w:rPr>
                <w:rFonts w:hint="eastAsia"/>
              </w:rPr>
            </w:pPr>
            <w:r>
              <w:rPr>
                <w:rFonts w:hint="eastAsia"/>
              </w:rPr>
              <w:t>提供了应急预案演习记录，并对有效性做评价。</w:t>
            </w:r>
          </w:p>
          <w:p>
            <w:pPr>
              <w:pStyle w:val="2"/>
            </w:pPr>
            <w:r>
              <w:rPr>
                <w:rFonts w:hint="eastAsia"/>
              </w:rPr>
              <w:t>自体系运行以来尚未发生紧急情况。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20" w:type="dxa"/>
            <w:vMerge w:val="continue"/>
            <w:vAlign w:val="center"/>
          </w:tcPr>
          <w:p>
            <w:pPr>
              <w:spacing w:line="360" w:lineRule="auto"/>
              <w:jc w:val="center"/>
              <w:rPr>
                <w:b/>
                <w:color w:val="000000" w:themeColor="text1"/>
                <w:szCs w:val="21"/>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rPr>
                <w:rFonts w:hint="default" w:eastAsia="宋体"/>
                <w:b/>
                <w:color w:val="000000" w:themeColor="text1"/>
                <w:sz w:val="20"/>
                <w:szCs w:val="20"/>
                <w:lang w:val="en-US" w:eastAsia="zh-CN"/>
              </w:rPr>
            </w:pPr>
            <w:r>
              <w:rPr>
                <w:rFonts w:hint="eastAsia"/>
                <w:b/>
                <w:color w:val="000000" w:themeColor="text1"/>
                <w:sz w:val="20"/>
                <w:szCs w:val="20"/>
                <w:lang w:val="en-US" w:eastAsia="zh-CN"/>
              </w:rPr>
              <w:t>无特种设备</w:t>
            </w:r>
          </w:p>
          <w:p>
            <w:pPr>
              <w:spacing w:line="360" w:lineRule="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360" w:lineRule="auto"/>
              <w:jc w:val="center"/>
              <w:rPr>
                <w:b/>
                <w:color w:val="000000" w:themeColor="text1"/>
                <w:szCs w:val="21"/>
              </w:rPr>
            </w:pPr>
          </w:p>
        </w:tc>
        <w:tc>
          <w:tcPr>
            <w:tcW w:w="9198" w:type="dxa"/>
          </w:tcPr>
          <w:p>
            <w:pPr>
              <w:spacing w:line="360" w:lineRule="auto"/>
              <w:rPr>
                <w:rFonts w:hint="eastAsia"/>
                <w:b/>
                <w:bCs/>
                <w:lang w:val="en-US" w:eastAsia="zh-CN"/>
              </w:rPr>
            </w:pPr>
            <w:r>
              <w:rPr>
                <w:rFonts w:hint="eastAsia"/>
                <w:b/>
                <w:bCs/>
              </w:rPr>
              <w:t>11 .对危险化学品销售、使用、储存、运输处置，规定的执行力度(必要时);</w:t>
            </w:r>
            <w:r>
              <w:rPr>
                <w:rFonts w:hint="eastAsia"/>
                <w:b/>
                <w:bCs/>
                <w:lang w:val="en-US" w:eastAsia="zh-CN"/>
              </w:rPr>
              <w:t>/</w:t>
            </w:r>
          </w:p>
          <w:p>
            <w:pPr>
              <w:pStyle w:val="2"/>
              <w:spacing w:line="360" w:lineRule="auto"/>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720" w:type="dxa"/>
            <w:vMerge w:val="restart"/>
            <w:textDirection w:val="tbRlV"/>
            <w:vAlign w:val="center"/>
          </w:tcPr>
          <w:p>
            <w:pPr>
              <w:spacing w:line="360" w:lineRule="auto"/>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360" w:lineRule="auto"/>
              <w:ind w:left="100" w:hanging="105" w:hangingChars="50"/>
              <w:rPr>
                <w:b/>
                <w:bCs/>
              </w:rPr>
            </w:pPr>
            <w:r>
              <w:rPr>
                <w:rFonts w:hint="eastAsia"/>
                <w:b/>
                <w:bCs/>
              </w:rPr>
              <w:t>1. .对质量/环境/职业健康安全目标指标进行定期监测/检查情况</w:t>
            </w:r>
          </w:p>
          <w:p>
            <w:pPr>
              <w:spacing w:line="360" w:lineRule="auto"/>
              <w:ind w:firstLine="420" w:firstLineChars="200"/>
              <w:rPr>
                <w:rFonts w:hint="eastAsia"/>
                <w:lang w:val="en-US" w:eastAsia="zh-CN"/>
              </w:rPr>
            </w:pPr>
            <w:r>
              <w:rPr>
                <w:rFonts w:hint="eastAsia"/>
                <w:lang w:val="en-US" w:eastAsia="zh-CN"/>
              </w:rPr>
              <w:t>对质量/环境/职业健康安全目标进行年度考核，各部门均完成；</w:t>
            </w:r>
          </w:p>
          <w:p>
            <w:pPr>
              <w:spacing w:line="360" w:lineRule="auto"/>
              <w:ind w:firstLine="420" w:firstLineChars="200"/>
              <w:rPr>
                <w:rFonts w:hint="eastAsia"/>
                <w:lang w:val="en-US" w:eastAsia="zh-CN"/>
              </w:rPr>
            </w:pPr>
            <w:r>
              <w:rPr>
                <w:rFonts w:hint="eastAsia"/>
                <w:lang w:val="en-US" w:eastAsia="zh-CN"/>
              </w:rPr>
              <w:t>行政部每月进行安全环境管理情况检查，结果均正常。</w:t>
            </w:r>
          </w:p>
          <w:p>
            <w:pPr>
              <w:pStyle w:val="2"/>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360" w:lineRule="auto"/>
              <w:ind w:left="113" w:right="113"/>
              <w:jc w:val="center"/>
              <w:rPr>
                <w:b/>
                <w:color w:val="000000" w:themeColor="text1"/>
                <w:szCs w:val="21"/>
              </w:rPr>
            </w:pPr>
          </w:p>
        </w:tc>
        <w:tc>
          <w:tcPr>
            <w:tcW w:w="9198" w:type="dxa"/>
          </w:tcPr>
          <w:p>
            <w:pPr>
              <w:spacing w:line="360" w:lineRule="auto"/>
              <w:ind w:left="100" w:hanging="105" w:hangingChars="50"/>
              <w:rPr>
                <w:rFonts w:hint="eastAsia"/>
                <w:b/>
                <w:bCs/>
              </w:rPr>
            </w:pPr>
            <w:r>
              <w:rPr>
                <w:rFonts w:hint="eastAsia"/>
                <w:b/>
                <w:bCs/>
              </w:rPr>
              <w:t>2.顾客满意</w:t>
            </w:r>
          </w:p>
          <w:p>
            <w:pPr>
              <w:spacing w:line="360" w:lineRule="auto"/>
              <w:ind w:firstLine="420"/>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顾客满意：2021.1.30</w:t>
            </w:r>
            <w:r>
              <w:rPr>
                <w:rFonts w:hint="eastAsia" w:cs="Times New Roman"/>
                <w:color w:val="auto"/>
                <w:szCs w:val="22"/>
                <w:lang w:val="en-US" w:eastAsia="zh-CN"/>
              </w:rPr>
              <w:t>，</w:t>
            </w:r>
            <w:r>
              <w:rPr>
                <w:rFonts w:hint="eastAsia" w:ascii="Times New Roman" w:hAnsi="Times New Roman" w:eastAsia="宋体" w:cs="Times New Roman"/>
                <w:color w:val="auto"/>
                <w:szCs w:val="22"/>
                <w:lang w:val="en-US" w:eastAsia="zh-CN"/>
              </w:rPr>
              <w:t>通过发放顾客满意度调查进行监测，发放调查表</w:t>
            </w:r>
            <w:r>
              <w:rPr>
                <w:rFonts w:hint="eastAsia" w:cs="Times New Roman"/>
                <w:color w:val="auto"/>
                <w:szCs w:val="22"/>
                <w:lang w:val="en-US" w:eastAsia="zh-CN"/>
              </w:rPr>
              <w:t>5</w:t>
            </w:r>
            <w:r>
              <w:rPr>
                <w:rFonts w:hint="eastAsia" w:ascii="Times New Roman" w:hAnsi="Times New Roman" w:eastAsia="宋体" w:cs="Times New Roman"/>
                <w:color w:val="auto"/>
                <w:szCs w:val="22"/>
                <w:lang w:val="en-US" w:eastAsia="zh-CN"/>
              </w:rPr>
              <w:t>份，经统计分析，顾客满意度为97分。</w:t>
            </w:r>
          </w:p>
          <w:p>
            <w:pPr>
              <w:pStyle w:val="2"/>
              <w:spacing w:line="360" w:lineRule="auto"/>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企业对顾客满意度的调查、分析利用进行了策划并实施，基本符合标准条款的要求。</w:t>
            </w:r>
          </w:p>
          <w:p>
            <w:pPr>
              <w:pStyle w:val="2"/>
              <w:spacing w:line="360" w:lineRule="auto"/>
              <w:rPr>
                <w:rFonts w:hint="eastAsia" w:ascii="宋体" w:hAnsi="宋体" w:cs="Arial"/>
                <w:color w:val="auto"/>
                <w:spacing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360" w:lineRule="auto"/>
              <w:ind w:left="201" w:right="113" w:hanging="201" w:hangingChars="100"/>
              <w:jc w:val="center"/>
              <w:rPr>
                <w:b/>
                <w:color w:val="000000" w:themeColor="text1"/>
                <w:sz w:val="20"/>
              </w:rPr>
            </w:pPr>
          </w:p>
        </w:tc>
        <w:tc>
          <w:tcPr>
            <w:tcW w:w="9198" w:type="dxa"/>
          </w:tcPr>
          <w:p>
            <w:pPr>
              <w:spacing w:line="360" w:lineRule="auto"/>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360" w:lineRule="auto"/>
              <w:ind w:firstLine="420" w:firstLineChars="200"/>
              <w:rPr>
                <w:rFonts w:hint="eastAsia" w:cs="Times New Roman"/>
                <w:szCs w:val="22"/>
                <w:lang w:val="en-US" w:eastAsia="zh-CN"/>
              </w:rPr>
            </w:pPr>
            <w:r>
              <w:rPr>
                <w:rFonts w:hint="eastAsia" w:cs="Times New Roman"/>
                <w:szCs w:val="22"/>
                <w:lang w:val="en-US" w:eastAsia="zh-CN"/>
              </w:rPr>
              <w:t>公司2021年3月1-2日开展了内审，内审覆盖全部门、全条款；</w:t>
            </w:r>
          </w:p>
          <w:p>
            <w:pPr>
              <w:spacing w:line="360" w:lineRule="auto"/>
              <w:ind w:firstLine="420" w:firstLineChars="200"/>
              <w:rPr>
                <w:rFonts w:hint="default" w:cs="Times New Roman"/>
                <w:szCs w:val="22"/>
                <w:lang w:val="en-US" w:eastAsia="zh-CN"/>
              </w:rPr>
            </w:pPr>
            <w:r>
              <w:rPr>
                <w:rFonts w:hint="eastAsia" w:cs="Times New Roman"/>
                <w:szCs w:val="22"/>
                <w:lang w:val="en-US" w:eastAsia="zh-CN"/>
              </w:rPr>
              <w:t>保留了内审计划、内审报告、不符合项报告；</w:t>
            </w:r>
          </w:p>
          <w:p>
            <w:pPr>
              <w:spacing w:line="360" w:lineRule="auto"/>
              <w:ind w:firstLine="420" w:firstLineChars="200"/>
              <w:rPr>
                <w:rFonts w:hint="default" w:cs="Times New Roman"/>
                <w:szCs w:val="22"/>
                <w:lang w:val="en-US" w:eastAsia="zh-CN"/>
              </w:rPr>
            </w:pPr>
            <w:r>
              <w:rPr>
                <w:rFonts w:hint="default" w:cs="Times New Roman"/>
                <w:szCs w:val="22"/>
                <w:lang w:val="en-US" w:eastAsia="zh-CN"/>
              </w:rPr>
              <w:t>本次内审开具不符合报告</w:t>
            </w:r>
            <w:r>
              <w:rPr>
                <w:rFonts w:hint="eastAsia" w:cs="Times New Roman"/>
                <w:szCs w:val="22"/>
                <w:lang w:val="en-US" w:eastAsia="zh-CN"/>
              </w:rPr>
              <w:t>1</w:t>
            </w:r>
            <w:r>
              <w:rPr>
                <w:rFonts w:hint="default" w:cs="Times New Roman"/>
                <w:szCs w:val="22"/>
                <w:lang w:val="en-US" w:eastAsia="zh-CN"/>
              </w:rPr>
              <w:t>份，已整改，有整改验收记录；</w:t>
            </w:r>
          </w:p>
          <w:p>
            <w:pPr>
              <w:spacing w:line="360" w:lineRule="auto"/>
              <w:ind w:firstLine="420" w:firstLineChars="200"/>
              <w:rPr>
                <w:b/>
                <w:color w:val="000000" w:themeColor="text1"/>
                <w:sz w:val="20"/>
                <w:szCs w:val="20"/>
              </w:rPr>
            </w:pPr>
            <w:r>
              <w:rPr>
                <w:rFonts w:hint="default" w:cs="Times New Roman"/>
                <w:szCs w:val="22"/>
                <w:lang w:val="en-US" w:eastAsia="zh-CN"/>
              </w:rPr>
              <w:t>内审结论为：公司三体系运行基本良好，运行达到一定的效果，基本符合ISO9001:2015；ISO14001:2015；ISO45001:2018标准的要求，但仍存在不足，各部门应举一反三，对类似问题予以整改。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360" w:lineRule="auto"/>
              <w:ind w:left="201" w:right="113" w:hanging="201" w:hangingChars="100"/>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numPr>
                <w:ilvl w:val="0"/>
                <w:numId w:val="0"/>
              </w:num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2021年3月10日在公司会议室由郭荣春总经理主持召开管理评审会议；</w:t>
            </w:r>
          </w:p>
          <w:p>
            <w:pPr>
              <w:numPr>
                <w:ilvl w:val="0"/>
                <w:numId w:val="0"/>
              </w:num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保留管理评审计划、管理评审报告、管理评审会议纪要、签到表等；</w:t>
            </w:r>
          </w:p>
          <w:p>
            <w:pPr>
              <w:numPr>
                <w:ilvl w:val="0"/>
                <w:numId w:val="0"/>
              </w:num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管理评审输入充分；</w:t>
            </w:r>
          </w:p>
          <w:p>
            <w:pPr>
              <w:numPr>
                <w:ilvl w:val="0"/>
                <w:numId w:val="0"/>
              </w:num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管理评审结论：公司的管理体系的建立和运行是充分的、适宜的、有效的。</w:t>
            </w:r>
          </w:p>
          <w:p>
            <w:pPr>
              <w:numPr>
                <w:ilvl w:val="0"/>
                <w:numId w:val="0"/>
              </w:num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改进措施要求：进一步组织对标准、《管理手册》、《程序文件》、相关的法律、法规、规程和规范的学习和培训。</w:t>
            </w:r>
          </w:p>
          <w:p>
            <w:pPr>
              <w:numPr>
                <w:ilvl w:val="0"/>
                <w:numId w:val="0"/>
              </w:numPr>
              <w:adjustRightInd w:val="0"/>
              <w:snapToGrid w:val="0"/>
              <w:spacing w:line="360" w:lineRule="auto"/>
              <w:ind w:right="105" w:rightChars="50" w:firstLine="396" w:firstLineChars="200"/>
              <w:textAlignment w:val="baseline"/>
              <w:rPr>
                <w:b/>
                <w:color w:val="000000" w:themeColor="text1"/>
                <w:sz w:val="20"/>
                <w:szCs w:val="20"/>
              </w:rPr>
            </w:pPr>
            <w:r>
              <w:rPr>
                <w:rFonts w:hint="eastAsia" w:ascii="宋体" w:hAnsi="宋体" w:eastAsia="宋体" w:cs="Arial"/>
                <w:color w:val="auto"/>
                <w:spacing w:val="-6"/>
                <w:sz w:val="21"/>
                <w:szCs w:val="21"/>
                <w:highlight w:val="none"/>
                <w:lang w:val="en-US" w:eastAsia="zh-CN"/>
              </w:rPr>
              <w:t>保留“管理评审改进措施计划”。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20" w:type="dxa"/>
            <w:vMerge w:val="continue"/>
            <w:vAlign w:val="center"/>
          </w:tcPr>
          <w:p>
            <w:pPr>
              <w:spacing w:line="360" w:lineRule="auto"/>
              <w:jc w:val="center"/>
              <w:rPr>
                <w:b/>
                <w:color w:val="000000" w:themeColor="text1"/>
                <w:sz w:val="20"/>
              </w:rPr>
            </w:pPr>
          </w:p>
        </w:tc>
        <w:tc>
          <w:tcPr>
            <w:tcW w:w="9198" w:type="dxa"/>
          </w:tcPr>
          <w:p>
            <w:pPr>
              <w:spacing w:line="360" w:lineRule="auto"/>
              <w:rPr>
                <w:rFonts w:hint="eastAsia"/>
                <w:b/>
                <w:bCs/>
              </w:rPr>
            </w:pPr>
            <w:r>
              <w:rPr>
                <w:rFonts w:hint="eastAsia"/>
                <w:b/>
                <w:bCs/>
              </w:rPr>
              <w:t>5.  EMS是否按规定对主要污染物（污水、废气、噪声、废渣等）及排放实施了例行的监视或测量，结果是否满足相关要求？</w:t>
            </w:r>
          </w:p>
          <w:p>
            <w:pPr>
              <w:pStyle w:val="2"/>
              <w:spacing w:line="360" w:lineRule="auto"/>
              <w:ind w:left="0" w:leftChars="0" w:firstLine="0" w:firstLineChars="0"/>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spacing w:line="360" w:lineRule="auto"/>
              <w:jc w:val="center"/>
              <w:rPr>
                <w:b/>
                <w:color w:val="000000" w:themeColor="text1"/>
                <w:sz w:val="20"/>
              </w:rPr>
            </w:pPr>
          </w:p>
        </w:tc>
        <w:tc>
          <w:tcPr>
            <w:tcW w:w="9198" w:type="dxa"/>
          </w:tcPr>
          <w:p>
            <w:pPr>
              <w:spacing w:line="360" w:lineRule="auto"/>
              <w:rPr>
                <w:rFonts w:hint="eastAsia"/>
                <w:b/>
                <w:bCs/>
              </w:rPr>
            </w:pPr>
            <w:r>
              <w:rPr>
                <w:rFonts w:hint="eastAsia"/>
                <w:b/>
                <w:bCs/>
              </w:rPr>
              <w:t xml:space="preserve">6.  </w:t>
            </w:r>
            <w:r>
              <w:rPr>
                <w:b/>
                <w:bCs/>
              </w:rPr>
              <w:t>EMS</w:t>
            </w:r>
            <w:r>
              <w:rPr>
                <w:rFonts w:hint="eastAsia"/>
                <w:b/>
                <w:bCs/>
              </w:rPr>
              <w:t>国家/地方环保部门监测结果、新改扩建项目符合环评报告、三同时验收报告要求情况及措施</w:t>
            </w:r>
          </w:p>
          <w:p>
            <w:pPr>
              <w:pStyle w:val="2"/>
              <w:spacing w:line="360" w:lineRule="auto"/>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0" w:type="dxa"/>
            <w:vMerge w:val="continue"/>
            <w:vAlign w:val="center"/>
          </w:tcPr>
          <w:p>
            <w:pPr>
              <w:spacing w:line="360" w:lineRule="auto"/>
              <w:jc w:val="center"/>
              <w:rPr>
                <w:b/>
                <w:color w:val="000000" w:themeColor="text1"/>
                <w:sz w:val="20"/>
              </w:rPr>
            </w:pPr>
          </w:p>
        </w:tc>
        <w:tc>
          <w:tcPr>
            <w:tcW w:w="9198" w:type="dxa"/>
          </w:tcPr>
          <w:p>
            <w:pPr>
              <w:spacing w:line="360" w:lineRule="auto"/>
              <w:rPr>
                <w:rFonts w:hint="eastAsia"/>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60" w:lineRule="auto"/>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无</w:t>
            </w:r>
          </w:p>
          <w:p>
            <w:pPr>
              <w:spacing w:line="360" w:lineRule="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720" w:type="dxa"/>
            <w:vMerge w:val="continue"/>
            <w:vAlign w:val="center"/>
          </w:tcPr>
          <w:p>
            <w:pPr>
              <w:spacing w:line="360" w:lineRule="auto"/>
              <w:jc w:val="center"/>
              <w:rPr>
                <w:b/>
                <w:color w:val="000000" w:themeColor="text1"/>
                <w:sz w:val="20"/>
              </w:rPr>
            </w:pPr>
          </w:p>
        </w:tc>
        <w:tc>
          <w:tcPr>
            <w:tcW w:w="9198" w:type="dxa"/>
          </w:tcPr>
          <w:p>
            <w:pPr>
              <w:spacing w:line="360" w:lineRule="auto"/>
              <w:rPr>
                <w:b/>
                <w:color w:val="000000" w:themeColor="text1"/>
                <w:sz w:val="20"/>
                <w:szCs w:val="20"/>
              </w:rPr>
            </w:pPr>
            <w:r>
              <w:rPr>
                <w:rFonts w:hint="eastAsia"/>
                <w:b/>
                <w:color w:val="000000" w:themeColor="text1"/>
                <w:sz w:val="20"/>
                <w:szCs w:val="20"/>
              </w:rPr>
              <w:t>8.OHSMS国家/地方职业健康安全部门监督检查情况及措施</w:t>
            </w:r>
          </w:p>
          <w:p>
            <w:pPr>
              <w:spacing w:line="360" w:lineRule="auto"/>
              <w:ind w:firstLine="396" w:firstLineChars="200"/>
              <w:rPr>
                <w:rFonts w:hint="eastAsia" w:eastAsia="宋体"/>
                <w:b/>
                <w:color w:val="000000" w:themeColor="text1"/>
                <w:sz w:val="20"/>
                <w:szCs w:val="20"/>
                <w:lang w:val="en-US" w:eastAsia="zh-CN"/>
              </w:rPr>
            </w:pPr>
            <w:r>
              <w:rPr>
                <w:rFonts w:hint="eastAsia" w:ascii="宋体" w:hAnsi="宋体" w:eastAsia="宋体" w:cs="Arial"/>
                <w:color w:val="auto"/>
                <w:spacing w:val="-6"/>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0" w:type="dxa"/>
            <w:vMerge w:val="continue"/>
            <w:tcBorders>
              <w:bottom w:val="single" w:color="auto" w:sz="4" w:space="0"/>
            </w:tcBorders>
            <w:vAlign w:val="center"/>
          </w:tcPr>
          <w:p>
            <w:pPr>
              <w:spacing w:line="360" w:lineRule="auto"/>
              <w:jc w:val="center"/>
              <w:rPr>
                <w:b/>
                <w:color w:val="000000" w:themeColor="text1"/>
                <w:sz w:val="20"/>
              </w:rPr>
            </w:pPr>
          </w:p>
        </w:tc>
        <w:tc>
          <w:tcPr>
            <w:tcW w:w="9198" w:type="dxa"/>
            <w:tcBorders>
              <w:bottom w:val="single" w:color="auto" w:sz="4" w:space="0"/>
            </w:tcBorders>
          </w:tcPr>
          <w:p>
            <w:pPr>
              <w:widowControl/>
              <w:spacing w:line="360" w:lineRule="auto"/>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360" w:lineRule="auto"/>
              <w:ind w:firstLine="402" w:firstLineChars="200"/>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720" w:type="dxa"/>
            <w:vMerge w:val="restart"/>
            <w:vAlign w:val="center"/>
          </w:tcPr>
          <w:p>
            <w:pPr>
              <w:spacing w:line="360" w:lineRule="auto"/>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ind w:firstLine="396" w:firstLineChars="200"/>
              <w:rPr>
                <w:b/>
                <w:color w:val="000000" w:themeColor="text1"/>
                <w:sz w:val="20"/>
                <w:szCs w:val="20"/>
              </w:rPr>
            </w:pPr>
            <w:r>
              <w:rPr>
                <w:rFonts w:hint="eastAsia" w:ascii="宋体" w:hAnsi="宋体" w:eastAsia="宋体" w:cs="Arial"/>
                <w:color w:val="auto"/>
                <w:spacing w:val="-6"/>
                <w:sz w:val="21"/>
                <w:szCs w:val="21"/>
                <w:highlight w:val="none"/>
                <w:lang w:val="en-US" w:eastAsia="zh-CN"/>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vAlign w:val="center"/>
          </w:tcPr>
          <w:p>
            <w:pPr>
              <w:spacing w:line="360" w:lineRule="auto"/>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bCs/>
              </w:rPr>
            </w:pPr>
            <w:r>
              <w:rPr>
                <w:rFonts w:hint="eastAsia"/>
                <w:b/>
                <w:bCs/>
              </w:rPr>
              <w:t>2（近一年）重大事故、顾客/相关方投诉：</w:t>
            </w:r>
          </w:p>
          <w:p>
            <w:pPr>
              <w:spacing w:line="360" w:lineRule="auto"/>
              <w:ind w:firstLine="420" w:firstLineChars="200"/>
              <w:rPr>
                <w:rFonts w:hint="eastAsia"/>
                <w:lang w:val="en-US" w:eastAsia="zh-CN"/>
              </w:rPr>
            </w:pPr>
            <w:r>
              <w:rPr>
                <w:rFonts w:hint="eastAsia"/>
                <w:lang w:val="en-US" w:eastAsia="zh-CN"/>
              </w:rPr>
              <w:t>未发生</w:t>
            </w:r>
          </w:p>
          <w:p>
            <w:pPr>
              <w:pStyle w:val="2"/>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720" w:type="dxa"/>
            <w:vMerge w:val="continue"/>
            <w:vAlign w:val="center"/>
          </w:tcPr>
          <w:p>
            <w:pPr>
              <w:spacing w:line="360" w:lineRule="auto"/>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bCs/>
              </w:rPr>
            </w:pPr>
            <w:r>
              <w:rPr>
                <w:rFonts w:hint="eastAsia"/>
                <w:b/>
                <w:bCs/>
              </w:rPr>
              <w:t>3. 一阶段提出问题的整改情况?</w:t>
            </w:r>
          </w:p>
          <w:p>
            <w:pPr>
              <w:spacing w:line="360" w:lineRule="auto"/>
              <w:ind w:firstLine="420" w:firstLineChars="200"/>
              <w:rPr>
                <w:rFonts w:hint="eastAsia"/>
                <w:lang w:val="en-US" w:eastAsia="zh-CN"/>
              </w:rPr>
            </w:pPr>
            <w:r>
              <w:rPr>
                <w:rFonts w:hint="eastAsia"/>
                <w:lang w:val="en-US" w:eastAsia="zh-CN"/>
              </w:rPr>
              <w:t>一阶段未提出问题</w:t>
            </w:r>
          </w:p>
          <w:p>
            <w:pPr>
              <w:pStyle w:val="2"/>
              <w:spacing w:line="36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vAlign w:val="center"/>
          </w:tcPr>
          <w:p>
            <w:pPr>
              <w:spacing w:line="360" w:lineRule="auto"/>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rFonts w:hint="eastAsia"/>
                <w:b/>
                <w:bCs/>
              </w:rPr>
            </w:pPr>
            <w:r>
              <w:rPr>
                <w:rFonts w:hint="eastAsia"/>
                <w:b/>
                <w:bCs/>
              </w:rPr>
              <w:t>4.创新情况</w:t>
            </w:r>
          </w:p>
          <w:p>
            <w:pPr>
              <w:pStyle w:val="2"/>
              <w:spacing w:line="360" w:lineRule="auto"/>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Merge w:val="continue"/>
            <w:vAlign w:val="center"/>
          </w:tcPr>
          <w:p>
            <w:pPr>
              <w:spacing w:line="360" w:lineRule="auto"/>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rFonts w:hint="eastAsia"/>
                <w:b/>
                <w:bCs/>
              </w:rPr>
            </w:pPr>
            <w:r>
              <w:rPr>
                <w:rFonts w:hint="eastAsia"/>
                <w:b/>
                <w:bCs/>
              </w:rPr>
              <w:t>5. 上次不符合的整改情况（再认证填写）</w:t>
            </w:r>
          </w:p>
          <w:p>
            <w:pPr>
              <w:pStyle w:val="2"/>
              <w:spacing w:line="360" w:lineRule="auto"/>
            </w:pP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pStyle w:val="2"/>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2"/>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经审核组</w:t>
            </w:r>
            <w:r>
              <w:rPr>
                <w:rFonts w:hint="eastAsia"/>
                <w:lang w:val="en-US" w:eastAsia="zh-CN"/>
              </w:rPr>
              <w:t>确认</w:t>
            </w:r>
            <w:r>
              <w:rPr>
                <w:rFonts w:hint="eastAsia"/>
              </w:rPr>
              <w:t>同意推荐认证注册。</w:t>
            </w:r>
            <w:bookmarkStart w:id="22" w:name="_GoBack"/>
            <w:bookmarkEnd w:id="22"/>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b/>
                <w:color w:val="000000" w:themeColor="text1"/>
                <w:sz w:val="20"/>
                <w:szCs w:val="20"/>
                <w:lang w:eastAsia="zh-CN"/>
              </w:rPr>
            </w:pPr>
            <w:r>
              <w:rPr>
                <w:rFonts w:ascii="宋体" w:hAnsi="宋体"/>
                <w:b/>
                <w:color w:val="000000" w:themeColor="text1"/>
                <w:sz w:val="20"/>
                <w:szCs w:val="20"/>
              </w:rPr>
              <w:t>Q：</w:t>
            </w:r>
            <w:r>
              <w:rPr>
                <w:rFonts w:hint="eastAsia" w:ascii="宋体" w:hAnsi="宋体"/>
                <w:b/>
                <w:color w:val="000000" w:themeColor="text1"/>
                <w:sz w:val="20"/>
                <w:szCs w:val="20"/>
                <w:lang w:eastAsia="zh-CN"/>
              </w:rPr>
              <w:t>办公用品、体育用品、日用品、劳动保护用品、文具用品、纸制品的销售</w:t>
            </w:r>
          </w:p>
          <w:p>
            <w:pPr>
              <w:pStyle w:val="2"/>
              <w:rPr>
                <w:rFonts w:hint="eastAsia"/>
                <w:lang w:eastAsia="zh-CN"/>
              </w:rPr>
            </w:pPr>
          </w:p>
          <w:p>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hint="eastAsia" w:ascii="宋体" w:hAnsi="宋体"/>
                <w:b/>
                <w:color w:val="000000" w:themeColor="text1"/>
                <w:sz w:val="20"/>
                <w:szCs w:val="20"/>
                <w:lang w:eastAsia="zh-CN"/>
              </w:rPr>
              <w:t>办公用品、体育用品、日用品、劳动保护用品、文具用品、纸制品的销售</w:t>
            </w:r>
            <w:r>
              <w:rPr>
                <w:rFonts w:ascii="宋体" w:hAnsi="宋体"/>
                <w:b/>
                <w:color w:val="000000" w:themeColor="text1"/>
                <w:sz w:val="20"/>
                <w:szCs w:val="20"/>
              </w:rPr>
              <w:t>所涉及场所的相关环境管理活动</w:t>
            </w:r>
          </w:p>
          <w:p>
            <w:pPr>
              <w:pStyle w:val="2"/>
            </w:pPr>
          </w:p>
          <w:p>
            <w:pPr>
              <w:snapToGrid w:val="0"/>
              <w:spacing w:line="280" w:lineRule="exact"/>
              <w:rPr>
                <w:b/>
                <w:color w:val="000000" w:themeColor="text1"/>
                <w:spacing w:val="-10"/>
                <w:sz w:val="22"/>
                <w:szCs w:val="22"/>
              </w:rPr>
            </w:pPr>
            <w:r>
              <w:rPr>
                <w:rFonts w:ascii="宋体" w:hAnsi="宋体"/>
                <w:b/>
                <w:color w:val="000000" w:themeColor="text1"/>
                <w:sz w:val="20"/>
                <w:szCs w:val="20"/>
              </w:rPr>
              <w:t>O：</w:t>
            </w:r>
            <w:r>
              <w:rPr>
                <w:rFonts w:hint="eastAsia" w:ascii="宋体" w:hAnsi="宋体"/>
                <w:b/>
                <w:color w:val="000000" w:themeColor="text1"/>
                <w:sz w:val="20"/>
                <w:szCs w:val="20"/>
                <w:lang w:eastAsia="zh-CN"/>
              </w:rPr>
              <w:t>办公用品、体育用品、日用品、劳动保护用品、文具用品、纸制品的销售</w:t>
            </w:r>
            <w:r>
              <w:rPr>
                <w:rFonts w:ascii="宋体" w:hAnsi="宋体"/>
                <w:b/>
                <w:color w:val="000000" w:themeColor="text1"/>
                <w:sz w:val="20"/>
                <w:szCs w:val="20"/>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1506855</wp:posOffset>
            </wp:positionH>
            <wp:positionV relativeFrom="paragraph">
              <wp:posOffset>303530</wp:posOffset>
            </wp:positionV>
            <wp:extent cx="845185" cy="509270"/>
            <wp:effectExtent l="0" t="0" r="12065" b="5080"/>
            <wp:wrapNone/>
            <wp:docPr id="3"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45185" cy="50927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1623695</wp:posOffset>
            </wp:positionH>
            <wp:positionV relativeFrom="paragraph">
              <wp:posOffset>48260</wp:posOffset>
            </wp:positionV>
            <wp:extent cx="870585" cy="534670"/>
            <wp:effectExtent l="0" t="0" r="5715" b="17780"/>
            <wp:wrapNone/>
            <wp:docPr id="4" name="图片 5" descr="签名-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签名-文波"/>
                    <pic:cNvPicPr>
                      <a:picLocks noChangeAspect="1"/>
                    </pic:cNvPicPr>
                  </pic:nvPicPr>
                  <pic:blipFill>
                    <a:blip r:embed="rId7"/>
                    <a:stretch>
                      <a:fillRect/>
                    </a:stretch>
                  </pic:blipFill>
                  <pic:spPr>
                    <a:xfrm>
                      <a:off x="0" y="0"/>
                      <a:ext cx="870585" cy="53467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132" w:firstLineChars="19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FB36DE"/>
    <w:rsid w:val="28212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14</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2021-03-28T03:49:55Z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