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60"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004" w:type="dxa"/>
            <w:vAlign w:val="center"/>
          </w:tcPr>
          <w:p>
            <w:pPr>
              <w:spacing w:line="360" w:lineRule="auto"/>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/员工代表  </w:t>
            </w:r>
            <w:r>
              <w:rPr>
                <w:rFonts w:hint="eastAsia"/>
                <w:sz w:val="24"/>
                <w:szCs w:val="24"/>
              </w:rPr>
              <w:t xml:space="preserve"> 主管领导：</w:t>
            </w:r>
            <w:r>
              <w:rPr>
                <w:rFonts w:hint="eastAsia"/>
                <w:sz w:val="24"/>
                <w:szCs w:val="24"/>
                <w:lang w:val="en-US" w:eastAsia="zh-CN"/>
              </w:rPr>
              <w:t>王传荣</w:t>
            </w:r>
            <w:r>
              <w:rPr>
                <w:sz w:val="24"/>
                <w:szCs w:val="24"/>
              </w:rPr>
              <w:t xml:space="preserve">   </w:t>
            </w:r>
            <w:r>
              <w:rPr>
                <w:rFonts w:hint="eastAsia"/>
                <w:sz w:val="24"/>
                <w:szCs w:val="24"/>
              </w:rPr>
              <w:t xml:space="preserve"> 陪同人员：</w:t>
            </w:r>
            <w:r>
              <w:rPr>
                <w:rFonts w:hint="eastAsia"/>
                <w:sz w:val="24"/>
                <w:szCs w:val="24"/>
                <w:lang w:val="en-US" w:eastAsia="zh-CN"/>
              </w:rPr>
              <w:t>刘敬钦/徐中连</w:t>
            </w:r>
          </w:p>
        </w:tc>
        <w:tc>
          <w:tcPr>
            <w:tcW w:w="1585"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360" w:lineRule="auto"/>
            </w:pPr>
          </w:p>
        </w:tc>
        <w:tc>
          <w:tcPr>
            <w:tcW w:w="960" w:type="dxa"/>
            <w:vMerge w:val="continue"/>
            <w:vAlign w:val="center"/>
          </w:tcPr>
          <w:p>
            <w:pPr>
              <w:spacing w:line="360" w:lineRule="auto"/>
            </w:pPr>
          </w:p>
        </w:tc>
        <w:tc>
          <w:tcPr>
            <w:tcW w:w="10004" w:type="dxa"/>
            <w:vAlign w:val="center"/>
          </w:tcPr>
          <w:p>
            <w:pPr>
              <w:spacing w:before="120" w:line="360" w:lineRule="auto"/>
              <w:rPr>
                <w:rFonts w:hint="default" w:eastAsia="宋体"/>
                <w:lang w:val="en-US" w:eastAsia="zh-CN"/>
              </w:rPr>
            </w:pPr>
            <w:r>
              <w:rPr>
                <w:rFonts w:hint="eastAsia"/>
                <w:sz w:val="24"/>
                <w:szCs w:val="24"/>
              </w:rPr>
              <w:t>审核员：</w:t>
            </w:r>
            <w:r>
              <w:rPr>
                <w:rFonts w:hint="eastAsia"/>
                <w:sz w:val="24"/>
                <w:szCs w:val="24"/>
                <w:lang w:eastAsia="zh-CN"/>
              </w:rPr>
              <w:t>李俐</w:t>
            </w:r>
            <w:r>
              <w:rPr>
                <w:rFonts w:hint="eastAsia"/>
                <w:sz w:val="24"/>
                <w:szCs w:val="24"/>
                <w:lang w:val="en-US" w:eastAsia="zh-CN"/>
              </w:rPr>
              <w:t xml:space="preserve">    </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03</w:t>
            </w:r>
            <w:r>
              <w:rPr>
                <w:rFonts w:hint="eastAsia"/>
                <w:sz w:val="24"/>
                <w:szCs w:val="24"/>
              </w:rPr>
              <w:t>月</w:t>
            </w:r>
            <w:r>
              <w:rPr>
                <w:rFonts w:hint="eastAsia"/>
                <w:sz w:val="24"/>
                <w:szCs w:val="24"/>
                <w:lang w:val="en-US" w:eastAsia="zh-CN"/>
              </w:rPr>
              <w:t>21</w:t>
            </w:r>
            <w:r>
              <w:rPr>
                <w:rFonts w:hint="eastAsia"/>
                <w:sz w:val="24"/>
                <w:szCs w:val="24"/>
              </w:rPr>
              <w:t>日下午</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pPr>
          </w:p>
        </w:tc>
        <w:tc>
          <w:tcPr>
            <w:tcW w:w="960" w:type="dxa"/>
            <w:vMerge w:val="continue"/>
            <w:vAlign w:val="center"/>
          </w:tcPr>
          <w:p>
            <w:pPr>
              <w:spacing w:line="360" w:lineRule="auto"/>
            </w:pPr>
          </w:p>
        </w:tc>
        <w:tc>
          <w:tcPr>
            <w:tcW w:w="10004" w:type="dxa"/>
            <w:vAlign w:val="center"/>
          </w:tcPr>
          <w:p>
            <w:pPr>
              <w:adjustRightInd w:val="0"/>
              <w:snapToGrid w:val="0"/>
              <w:spacing w:line="360" w:lineRule="auto"/>
              <w:ind w:right="105" w:rightChars="50"/>
              <w:jc w:val="left"/>
              <w:textAlignment w:val="baseline"/>
              <w:rPr>
                <w:rFonts w:hint="eastAsia" w:ascii="宋体" w:hAnsi="宋体" w:cs="Arial"/>
                <w:spacing w:val="-6"/>
                <w:sz w:val="21"/>
                <w:szCs w:val="21"/>
              </w:rPr>
            </w:pPr>
            <w:r>
              <w:rPr>
                <w:rFonts w:hint="eastAsia"/>
                <w:sz w:val="24"/>
                <w:szCs w:val="24"/>
              </w:rPr>
              <w:t>审核条款：</w:t>
            </w:r>
            <w:r>
              <w:rPr>
                <w:rFonts w:hint="eastAsia" w:ascii="宋体" w:hAnsi="宋体" w:cs="Arial"/>
                <w:spacing w:val="-6"/>
                <w:sz w:val="21"/>
                <w:szCs w:val="21"/>
              </w:rPr>
              <w:t>Q/E</w:t>
            </w:r>
            <w:r>
              <w:rPr>
                <w:rFonts w:hint="eastAsia" w:ascii="宋体" w:hAnsi="宋体" w:cs="Arial"/>
                <w:spacing w:val="-6"/>
                <w:sz w:val="21"/>
                <w:szCs w:val="21"/>
                <w:lang w:val="en-US" w:eastAsia="zh-CN"/>
              </w:rPr>
              <w:t>/O</w:t>
            </w:r>
            <w:r>
              <w:rPr>
                <w:rFonts w:hint="eastAsia" w:ascii="宋体" w:hAnsi="宋体" w:cs="Arial"/>
                <w:spacing w:val="-6"/>
                <w:sz w:val="21"/>
                <w:szCs w:val="21"/>
              </w:rPr>
              <w:t>:4.1理解组织及其环境、4.2理解相关方的需求和期望、4.3 确定管理体系的范围、4.4质量/环境管理体系及其过程、5.1领导作用和承诺、5.2质量/环境方针、5.3组织的岗位、职责和权限、5.4工作人员的协商和参与</w:t>
            </w:r>
            <w:r>
              <w:rPr>
                <w:rFonts w:hint="eastAsia" w:ascii="宋体" w:hAnsi="宋体" w:cs="Arial"/>
                <w:spacing w:val="-6"/>
                <w:sz w:val="21"/>
                <w:szCs w:val="21"/>
                <w:lang w:val="en-US" w:eastAsia="zh-CN"/>
              </w:rPr>
              <w:t>(O)、</w:t>
            </w:r>
            <w:r>
              <w:rPr>
                <w:rFonts w:hint="eastAsia" w:ascii="宋体" w:hAnsi="宋体" w:cs="Arial"/>
                <w:spacing w:val="-6"/>
                <w:sz w:val="21"/>
                <w:szCs w:val="21"/>
              </w:rPr>
              <w:t>6.2.1 环境目标</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E</w:t>
            </w:r>
            <w:r>
              <w:rPr>
                <w:rFonts w:hint="eastAsia" w:ascii="宋体" w:hAnsi="宋体" w:cs="Arial"/>
                <w:spacing w:val="-6"/>
                <w:sz w:val="21"/>
                <w:szCs w:val="21"/>
                <w:lang w:eastAsia="zh-CN"/>
              </w:rPr>
              <w:t>）、</w:t>
            </w:r>
            <w:r>
              <w:rPr>
                <w:rFonts w:hint="eastAsia" w:ascii="宋体" w:hAnsi="宋体" w:cs="Arial"/>
                <w:spacing w:val="-6"/>
                <w:sz w:val="21"/>
                <w:szCs w:val="21"/>
              </w:rPr>
              <w:t>6.2职业健康安全目标及其实现的策划</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O</w:t>
            </w:r>
            <w:r>
              <w:rPr>
                <w:rFonts w:hint="eastAsia" w:ascii="宋体" w:hAnsi="宋体" w:cs="Arial"/>
                <w:spacing w:val="-6"/>
                <w:sz w:val="21"/>
                <w:szCs w:val="21"/>
                <w:lang w:eastAsia="zh-CN"/>
              </w:rPr>
              <w:t>）、</w:t>
            </w:r>
            <w:r>
              <w:rPr>
                <w:rFonts w:hint="eastAsia" w:ascii="宋体" w:hAnsi="宋体" w:cs="Arial"/>
                <w:spacing w:val="-6"/>
                <w:sz w:val="21"/>
                <w:szCs w:val="21"/>
              </w:rPr>
              <w:t>6.3变更的策划、7.1.1（E</w:t>
            </w:r>
            <w:r>
              <w:rPr>
                <w:rFonts w:hint="eastAsia" w:ascii="宋体" w:hAnsi="宋体" w:cs="Arial"/>
                <w:spacing w:val="-6"/>
                <w:sz w:val="21"/>
                <w:szCs w:val="21"/>
                <w:lang w:val="en-US" w:eastAsia="zh-CN"/>
              </w:rPr>
              <w:t>O</w:t>
            </w:r>
            <w:r>
              <w:rPr>
                <w:rFonts w:hint="eastAsia" w:ascii="宋体" w:hAnsi="宋体" w:cs="Arial"/>
                <w:spacing w:val="-6"/>
                <w:sz w:val="21"/>
                <w:szCs w:val="21"/>
              </w:rPr>
              <w:t xml:space="preserve">7.1）资源总则、7.3意识 </w:t>
            </w:r>
            <w:r>
              <w:rPr>
                <w:rFonts w:hint="eastAsia" w:ascii="宋体" w:hAnsi="宋体" w:cs="Arial"/>
                <w:spacing w:val="-6"/>
                <w:sz w:val="21"/>
                <w:szCs w:val="21"/>
                <w:lang w:eastAsia="zh-CN"/>
              </w:rPr>
              <w:t>、</w:t>
            </w:r>
            <w:r>
              <w:rPr>
                <w:rFonts w:hint="eastAsia" w:ascii="宋体" w:hAnsi="宋体" w:cs="Arial"/>
                <w:spacing w:val="-6"/>
                <w:sz w:val="21"/>
                <w:szCs w:val="21"/>
              </w:rPr>
              <w:t>7.4.3外部沟通</w:t>
            </w:r>
            <w:r>
              <w:rPr>
                <w:rFonts w:hint="eastAsia" w:ascii="宋体" w:hAnsi="宋体" w:cs="Arial"/>
                <w:spacing w:val="-6"/>
                <w:sz w:val="21"/>
                <w:szCs w:val="21"/>
                <w:lang w:eastAsia="zh-CN"/>
              </w:rPr>
              <w:t>（</w:t>
            </w:r>
            <w:r>
              <w:rPr>
                <w:rFonts w:hint="eastAsia" w:ascii="宋体" w:hAnsi="宋体" w:cs="Arial"/>
                <w:spacing w:val="-6"/>
                <w:sz w:val="21"/>
                <w:szCs w:val="21"/>
                <w:lang w:val="en-US" w:eastAsia="zh-CN"/>
              </w:rPr>
              <w:t>O</w:t>
            </w:r>
            <w:r>
              <w:rPr>
                <w:rFonts w:hint="eastAsia" w:ascii="宋体" w:hAnsi="宋体" w:cs="Arial"/>
                <w:spacing w:val="-6"/>
                <w:sz w:val="21"/>
                <w:szCs w:val="21"/>
                <w:lang w:eastAsia="zh-CN"/>
              </w:rPr>
              <w:t>）、</w:t>
            </w:r>
            <w:r>
              <w:rPr>
                <w:rFonts w:hint="eastAsia" w:ascii="宋体" w:hAnsi="宋体" w:cs="Arial"/>
                <w:spacing w:val="-6"/>
                <w:sz w:val="21"/>
                <w:szCs w:val="21"/>
              </w:rPr>
              <w:t>9.1.1总则 、9.3管理评审、10改进</w:t>
            </w:r>
          </w:p>
          <w:p>
            <w:pPr>
              <w:spacing w:line="360" w:lineRule="auto"/>
              <w:rPr>
                <w:rFonts w:hint="eastAsia" w:ascii="宋体" w:hAnsi="宋体" w:cs="Arial"/>
                <w:spacing w:val="-6"/>
                <w:sz w:val="21"/>
                <w:szCs w:val="21"/>
              </w:rPr>
            </w:pPr>
            <w:r>
              <w:rPr>
                <w:rFonts w:hint="eastAsia" w:ascii="宋体" w:hAnsi="宋体" w:cs="Arial"/>
                <w:spacing w:val="-6"/>
                <w:sz w:val="21"/>
                <w:szCs w:val="21"/>
              </w:rPr>
              <w:t>国家/地方监督抽查情况；顾客满意、相关方投诉及处理情况；一阶段问题验证，</w:t>
            </w:r>
          </w:p>
          <w:p>
            <w:pPr>
              <w:spacing w:line="360" w:lineRule="auto"/>
              <w:rPr>
                <w:sz w:val="24"/>
                <w:szCs w:val="24"/>
              </w:rPr>
            </w:pPr>
            <w:r>
              <w:rPr>
                <w:rFonts w:hint="eastAsia" w:ascii="宋体" w:hAnsi="宋体" w:cs="Arial"/>
                <w:spacing w:val="-6"/>
                <w:sz w:val="21"/>
                <w:szCs w:val="21"/>
              </w:rPr>
              <w:t>验证企业相关资质证明的有效性；</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0" w:type="dxa"/>
          </w:tcPr>
          <w:p>
            <w:pPr>
              <w:spacing w:line="360" w:lineRule="auto"/>
            </w:pPr>
            <w:r>
              <w:rPr>
                <w:rFonts w:hint="eastAsia"/>
              </w:rPr>
              <w:t>理解组织及其环境</w:t>
            </w:r>
          </w:p>
          <w:p>
            <w:pPr>
              <w:spacing w:line="360" w:lineRule="auto"/>
            </w:pPr>
          </w:p>
          <w:p>
            <w:pPr>
              <w:spacing w:line="360" w:lineRule="auto"/>
            </w:pPr>
          </w:p>
          <w:p>
            <w:pPr>
              <w:spacing w:line="360" w:lineRule="auto"/>
            </w:pPr>
            <w:r>
              <w:rPr>
                <w:rFonts w:hint="eastAsia"/>
              </w:rPr>
              <w:t>确定管理体系的范围</w:t>
            </w:r>
          </w:p>
        </w:tc>
        <w:tc>
          <w:tcPr>
            <w:tcW w:w="960" w:type="dxa"/>
          </w:tcPr>
          <w:p>
            <w:pPr>
              <w:spacing w:line="360" w:lineRule="auto"/>
            </w:pPr>
            <w:r>
              <w:rPr>
                <w:rFonts w:hint="eastAsia"/>
              </w:rPr>
              <w:t>QEO</w:t>
            </w:r>
          </w:p>
          <w:p>
            <w:pPr>
              <w:spacing w:line="360" w:lineRule="auto"/>
            </w:pPr>
            <w:r>
              <w:rPr>
                <w:rFonts w:hint="eastAsia"/>
              </w:rPr>
              <w:t>4.1</w:t>
            </w:r>
          </w:p>
          <w:p>
            <w:pPr>
              <w:spacing w:line="360" w:lineRule="auto"/>
            </w:pPr>
            <w:r>
              <w:rPr>
                <w:rFonts w:hint="eastAsia"/>
              </w:rPr>
              <w:t>QEO</w:t>
            </w:r>
          </w:p>
          <w:p>
            <w:pPr>
              <w:spacing w:line="360" w:lineRule="auto"/>
            </w:pPr>
            <w:r>
              <w:rPr>
                <w:rFonts w:hint="eastAsia"/>
              </w:rPr>
              <w:t>4.3</w:t>
            </w:r>
          </w:p>
          <w:p>
            <w:pPr>
              <w:spacing w:line="360" w:lineRule="auto"/>
            </w:pPr>
            <w:r>
              <w:rPr>
                <w:rFonts w:hint="eastAsia"/>
              </w:rPr>
              <w:t>企业资质</w:t>
            </w:r>
          </w:p>
          <w:p>
            <w:pPr>
              <w:spacing w:line="360" w:lineRule="auto"/>
            </w:pPr>
            <w:r>
              <w:rPr>
                <w:rFonts w:hint="eastAsia"/>
              </w:rPr>
              <w:t>国/地监督检查</w:t>
            </w:r>
          </w:p>
          <w:p>
            <w:pPr>
              <w:spacing w:line="360" w:lineRule="auto"/>
            </w:pPr>
            <w:r>
              <w:rPr>
                <w:rFonts w:hint="eastAsia"/>
              </w:rPr>
              <w:t>客户和相关方投诉及处理</w:t>
            </w:r>
          </w:p>
        </w:tc>
        <w:tc>
          <w:tcPr>
            <w:tcW w:w="10004" w:type="dxa"/>
            <w:vAlign w:val="center"/>
          </w:tcPr>
          <w:p>
            <w:pPr>
              <w:spacing w:line="360" w:lineRule="auto"/>
              <w:rPr>
                <w:rFonts w:hint="eastAsia"/>
              </w:rPr>
            </w:pPr>
            <w:r>
              <w:rPr>
                <w:rFonts w:hint="eastAsia"/>
              </w:rPr>
              <w:t>■受审核方：盐城华远石油机械有限公司</w:t>
            </w:r>
          </w:p>
          <w:p>
            <w:pPr>
              <w:spacing w:line="360" w:lineRule="auto"/>
              <w:rPr>
                <w:rFonts w:hint="eastAsia"/>
              </w:rPr>
            </w:pPr>
            <w:r>
              <w:rPr>
                <w:rFonts w:hint="eastAsia"/>
              </w:rPr>
              <w:t>企业简介：</w:t>
            </w:r>
          </w:p>
          <w:p>
            <w:pPr>
              <w:numPr>
                <w:ilvl w:val="0"/>
                <w:numId w:val="1"/>
              </w:numPr>
              <w:spacing w:line="360" w:lineRule="auto"/>
              <w:rPr>
                <w:rFonts w:hint="eastAsia"/>
              </w:rPr>
            </w:pPr>
            <w:r>
              <w:rPr>
                <w:rFonts w:hint="eastAsia"/>
              </w:rPr>
              <w:t>于2007</w:t>
            </w:r>
            <w:r>
              <w:t>年</w:t>
            </w:r>
            <w:r>
              <w:rPr>
                <w:rFonts w:hint="eastAsia"/>
              </w:rPr>
              <w:t>4</w:t>
            </w:r>
            <w:r>
              <w:t>月</w:t>
            </w:r>
            <w:r>
              <w:rPr>
                <w:rFonts w:hint="eastAsia"/>
              </w:rPr>
              <w:t>17日</w:t>
            </w:r>
            <w:r>
              <w:t>，</w:t>
            </w:r>
            <w:r>
              <w:rPr>
                <w:rFonts w:hint="eastAsia"/>
              </w:rPr>
              <w:t>注册资本10188</w:t>
            </w:r>
            <w:r>
              <w:t>万元，</w:t>
            </w:r>
            <w:r>
              <w:rPr>
                <w:rFonts w:hint="eastAsia"/>
              </w:rPr>
              <w:t>位于</w:t>
            </w:r>
            <w:r>
              <w:t>盐城市盐都区大冈镇卧龙西路</w:t>
            </w:r>
            <w:r>
              <w:rPr>
                <w:rFonts w:hint="eastAsia"/>
              </w:rPr>
              <w:t>88号，占地面积11400平米，建筑面积6000平米，其中生产车间约3800平米，办公面积约1113平米，现有员工29人；</w:t>
            </w:r>
          </w:p>
          <w:p>
            <w:pPr>
              <w:numPr>
                <w:ilvl w:val="0"/>
                <w:numId w:val="1"/>
              </w:numPr>
              <w:spacing w:line="360" w:lineRule="auto"/>
              <w:rPr>
                <w:rFonts w:hint="eastAsia"/>
              </w:rPr>
            </w:pPr>
            <w:r>
              <w:rPr>
                <w:rFonts w:hint="eastAsia"/>
              </w:rPr>
              <w:t>公司2018年6月20日实施QES管理体系，于2018.12.29-2019.1.1进行了首次审核；</w:t>
            </w:r>
            <w:r>
              <w:rPr>
                <w:rFonts w:hint="eastAsia"/>
                <w:lang w:val="en-US" w:eastAsia="zh-CN"/>
              </w:rPr>
              <w:t>2020年1月10-11日进行第一次监督审核。</w:t>
            </w:r>
          </w:p>
          <w:p>
            <w:pPr>
              <w:numPr>
                <w:ilvl w:val="0"/>
                <w:numId w:val="1"/>
              </w:numPr>
              <w:spacing w:line="360" w:lineRule="auto"/>
              <w:rPr>
                <w:rFonts w:hint="eastAsia"/>
              </w:rPr>
            </w:pPr>
            <w:r>
              <w:rPr>
                <w:rFonts w:hint="eastAsia"/>
              </w:rPr>
              <w:t>主要从事螺杆钻具及配件、石油钻采配件、制鞋机械、通用设备及配件、螺杆泵及配件、套管头及配件、防喷器及配件、螺杆泵驱动装置及配件、螺杆泵专用变频控制柜及配件、锚定器、盘根盒、直驱电机及配件、抽油杆、抽油泵及配件、抽油杆接箍、扶正器、泄油器制造、加工、销售，旧螺杆式抽油泵、旧螺杆泵驱动装置、旧整筒式抽油泵、旧防砂式抽油泵维修、保养，牙轮钻头、PDC钻头、螺杆钻具租赁及服务，钻井工程技术一体化服务，橡胶制品、钢材销售，石油工程技术服务，石油设备租赁，房屋租赁，房屋修缮，自营和代理各类商品及技术的进出口业务（国家限定或者禁止企业经营的商品和技术除外），道路普通货物运输服务，建筑装修装饰工程施工。（依法须经批准的项目，经相关部门批准后方可开展经营活动）；</w:t>
            </w:r>
          </w:p>
          <w:p>
            <w:pPr>
              <w:numPr>
                <w:ilvl w:val="0"/>
                <w:numId w:val="1"/>
              </w:numPr>
              <w:spacing w:line="360" w:lineRule="auto"/>
              <w:rPr>
                <w:rFonts w:hint="eastAsia"/>
              </w:rPr>
            </w:pPr>
            <w:r>
              <w:rPr>
                <w:rFonts w:hint="eastAsia"/>
              </w:rPr>
              <w:t>主要生产设备;螺杆槽数控铣床、数字车床、数控管子螺纹车床、卧室车床、摇臂钻床、牛头铇床、万能铣床、转子抛光机、喷焊机、无心磨床、珩磨床、校直机、锯床、行车、电焊机、千吨液压机、空压机等.</w:t>
            </w:r>
          </w:p>
          <w:p>
            <w:pPr>
              <w:spacing w:line="360" w:lineRule="auto"/>
              <w:rPr>
                <w:rFonts w:hint="eastAsia"/>
              </w:rPr>
            </w:pP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w:t>
            </w:r>
          </w:p>
          <w:p>
            <w:pPr>
              <w:spacing w:line="360" w:lineRule="auto"/>
              <w:rPr>
                <w:rFonts w:hint="eastAsia"/>
              </w:rPr>
            </w:pPr>
            <w:r>
              <w:rPr>
                <w:rFonts w:hint="eastAsia"/>
              </w:rPr>
              <w:t>法律法规：公司生产应符合国家的法律法规要求。</w:t>
            </w:r>
          </w:p>
          <w:p>
            <w:pPr>
              <w:spacing w:line="360" w:lineRule="auto"/>
              <w:rPr>
                <w:rFonts w:hint="eastAsia"/>
              </w:rPr>
            </w:pPr>
            <w:r>
              <w:rPr>
                <w:rFonts w:hint="eastAsia"/>
              </w:rPr>
              <w:t xml:space="preserve">公司地处盐城市，在环境方面应符合国家和本市的环境法律法规要求。 </w:t>
            </w:r>
          </w:p>
          <w:p>
            <w:pPr>
              <w:spacing w:line="360" w:lineRule="auto"/>
              <w:rPr>
                <w:rFonts w:hint="eastAsia"/>
              </w:rPr>
            </w:pPr>
            <w:r>
              <w:rPr>
                <w:rFonts w:hint="eastAsia"/>
              </w:rPr>
              <w:t>技术水平：公司拥有多年生产经验和营销能力，能够满足用户的个性化需求。</w:t>
            </w:r>
          </w:p>
          <w:p>
            <w:pPr>
              <w:spacing w:line="360" w:lineRule="auto"/>
              <w:rPr>
                <w:rFonts w:hint="eastAsia"/>
              </w:rPr>
            </w:pPr>
            <w:r>
              <w:rPr>
                <w:rFonts w:hint="eastAsia"/>
              </w:rPr>
              <w:t>文化和价值观：公司成立多年，形成了积极向上、努力进取的企业文化氛围。公司运行管理体系以来，重视产品质量、增强用户满意是所有员工的共识。</w:t>
            </w:r>
          </w:p>
          <w:p>
            <w:pPr>
              <w:spacing w:line="360" w:lineRule="auto"/>
              <w:rPr>
                <w:rFonts w:hint="eastAsia"/>
              </w:rPr>
            </w:pPr>
            <w:r>
              <w:rPr>
                <w:rFonts w:hint="eastAsia"/>
              </w:rPr>
              <w:t>关注环境变化：公司管理层及相关部门将持续关注公司所处的环境变化，必要时通过评估风险和机遇，调整管理体系目标和指标或变更管理过程以适应这些变化或实现改进。关注的内容包括：</w:t>
            </w:r>
          </w:p>
          <w:p>
            <w:pPr>
              <w:spacing w:line="360" w:lineRule="auto"/>
              <w:rPr>
                <w:rFonts w:hint="eastAsia"/>
              </w:rPr>
            </w:pPr>
            <w:r>
              <w:rPr>
                <w:rFonts w:hint="eastAsia"/>
              </w:rPr>
              <w:t>——外部环境：国际、国内、地区和当地的各种法律法规、技术、竞争、市场、文化、社会和经济因素；</w:t>
            </w:r>
          </w:p>
          <w:p>
            <w:pPr>
              <w:spacing w:line="360" w:lineRule="auto"/>
              <w:rPr>
                <w:rFonts w:hint="eastAsia"/>
              </w:rPr>
            </w:pPr>
            <w:r>
              <w:rPr>
                <w:rFonts w:hint="eastAsia"/>
              </w:rPr>
              <w:t>——内部条件：公司的价值观、产品和服务、战略方向、文化与能力；</w:t>
            </w:r>
          </w:p>
          <w:p>
            <w:pPr>
              <w:spacing w:line="360" w:lineRule="auto"/>
              <w:rPr>
                <w:rFonts w:hint="eastAsia"/>
              </w:rPr>
            </w:pPr>
            <w:r>
              <w:rPr>
                <w:rFonts w:hint="eastAsia"/>
              </w:rPr>
              <w:t>——周边环境：气候、空气和水质量、土地使用、现存污染、资源的可获得性等相关因素。</w:t>
            </w:r>
          </w:p>
          <w:p>
            <w:pPr>
              <w:spacing w:line="360" w:lineRule="auto"/>
              <w:rPr>
                <w:rFonts w:hint="eastAsia"/>
              </w:rPr>
            </w:pPr>
            <w:r>
              <w:rPr>
                <w:rFonts w:hint="eastAsia"/>
              </w:rPr>
              <w:t>对这些内外部因素通过定期的网站获取、顾客沟通及定期（周总结会议、月中、月末总结会议）内部总结等方式进行监视和评审。</w:t>
            </w:r>
          </w:p>
          <w:p>
            <w:pPr>
              <w:pStyle w:val="2"/>
              <w:spacing w:line="360" w:lineRule="auto"/>
              <w:rPr>
                <w:rFonts w:hint="eastAsia"/>
              </w:rPr>
            </w:pPr>
          </w:p>
          <w:p>
            <w:pPr>
              <w:spacing w:line="360" w:lineRule="auto"/>
              <w:rPr>
                <w:rFonts w:hint="eastAsia" w:ascii="Times New Roman" w:hAnsi="Times New Roman" w:cs="Times New Roman"/>
                <w:sz w:val="21"/>
                <w:szCs w:val="21"/>
              </w:rPr>
            </w:pPr>
            <w:r>
              <w:rPr>
                <w:rFonts w:hint="eastAsia"/>
                <w:sz w:val="21"/>
                <w:szCs w:val="21"/>
              </w:rPr>
              <w:t>根据客</w:t>
            </w:r>
            <w:r>
              <w:rPr>
                <w:rFonts w:hint="eastAsia" w:ascii="Times New Roman" w:hAnsi="Times New Roman" w:cs="Times New Roman"/>
                <w:sz w:val="21"/>
                <w:szCs w:val="21"/>
              </w:rPr>
              <w:t>户需求（外部信息）、企业内部状况及相关方要求，</w:t>
            </w:r>
            <w:r>
              <w:rPr>
                <w:rFonts w:hint="eastAsia" w:ascii="Times New Roman" w:hAnsi="Times New Roman" w:cs="Times New Roman"/>
                <w:sz w:val="21"/>
                <w:szCs w:val="21"/>
                <w:lang w:val="en-US" w:eastAsia="zh-CN"/>
              </w:rPr>
              <w:t>根据企业实际生产，认证范围增加了</w:t>
            </w:r>
            <w:r>
              <w:rPr>
                <w:rFonts w:hint="eastAsia" w:ascii="Times New Roman" w:hAnsi="Times New Roman" w:cs="Times New Roman"/>
                <w:sz w:val="21"/>
                <w:szCs w:val="21"/>
              </w:rPr>
              <w:t>螺杆钻具</w:t>
            </w:r>
            <w:r>
              <w:rPr>
                <w:rFonts w:hint="eastAsia" w:ascii="Times New Roman" w:hAnsi="Times New Roman" w:cs="Times New Roman"/>
                <w:sz w:val="21"/>
                <w:szCs w:val="21"/>
                <w:lang w:val="en-US" w:eastAsia="zh-CN"/>
              </w:rPr>
              <w:t>的生产</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确定体系覆盖的范围</w:t>
            </w:r>
            <w:r>
              <w:rPr>
                <w:rFonts w:hint="eastAsia" w:ascii="Times New Roman" w:hAnsi="Times New Roman" w:cs="Times New Roman"/>
                <w:sz w:val="21"/>
                <w:szCs w:val="21"/>
                <w:lang w:val="en-US" w:eastAsia="zh-CN"/>
              </w:rPr>
              <w:t>为</w:t>
            </w:r>
            <w:r>
              <w:rPr>
                <w:rFonts w:hint="eastAsia" w:ascii="Times New Roman" w:hAnsi="Times New Roman" w:cs="Times New Roman"/>
                <w:sz w:val="21"/>
                <w:szCs w:val="21"/>
              </w:rPr>
              <w:t>：</w:t>
            </w:r>
          </w:p>
          <w:p>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QMS: 抽油泵（节能环保抽油泵，耐磨防腐抽油泵，防砂抽油泵、螺杆式抽油泵，整筒式抽油泵）及配件，螺杆钻具、螺杆泵驱动装置及专用变频控制柜</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钻采配件生产;</w:t>
            </w:r>
          </w:p>
          <w:p>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E: 抽油泵（节能环保抽油泵，耐磨防腐抽油泵，防砂抽油泵、螺杆式抽油泵，整筒式抽油泵）及配件，螺杆钻具、螺杆泵驱动装置及专用变频控制柜</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钻采配件生产及其所涉及场所的相关环境管理活动;</w:t>
            </w:r>
          </w:p>
          <w:p>
            <w:pPr>
              <w:spacing w:line="360" w:lineRule="auto"/>
            </w:pPr>
            <w:r>
              <w:rPr>
                <w:rFonts w:hint="eastAsia" w:ascii="Times New Roman" w:hAnsi="Times New Roman" w:cs="Times New Roman"/>
                <w:sz w:val="21"/>
                <w:szCs w:val="21"/>
              </w:rPr>
              <w:t>OH&amp;S: 抽油泵（节能环保抽油泵，耐磨防腐抽油泵，防砂抽油泵、螺杆式抽油泵，整筒式抽油泵）及配件，螺杆钻具、螺杆泵驱动装置及专用变频控制柜</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钻采配件生产及其所涉及场所的相关职业健康安全管理活动.</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pPr>
            <w:r>
              <w:rPr>
                <w:rFonts w:hint="eastAsia"/>
              </w:rPr>
              <w:t>理解相关方的需求和期望</w:t>
            </w:r>
          </w:p>
        </w:tc>
        <w:tc>
          <w:tcPr>
            <w:tcW w:w="960" w:type="dxa"/>
          </w:tcPr>
          <w:p>
            <w:pPr>
              <w:spacing w:line="360" w:lineRule="auto"/>
            </w:pPr>
            <w:r>
              <w:t>QEO</w:t>
            </w:r>
            <w:r>
              <w:rPr>
                <w:rFonts w:hint="eastAsia"/>
              </w:rPr>
              <w:t>4.2</w:t>
            </w:r>
          </w:p>
        </w:tc>
        <w:tc>
          <w:tcPr>
            <w:tcW w:w="10004" w:type="dxa"/>
            <w:vAlign w:val="center"/>
          </w:tcPr>
          <w:p>
            <w:pPr>
              <w:spacing w:line="360" w:lineRule="auto"/>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方需求和期望：</w:t>
            </w:r>
          </w:p>
          <w:p>
            <w:pPr>
              <w:spacing w:line="360" w:lineRule="auto"/>
              <w:rPr>
                <w:rFonts w:hint="eastAsia"/>
                <w:sz w:val="21"/>
                <w:szCs w:val="21"/>
              </w:rPr>
            </w:pPr>
            <w:r>
              <w:rPr>
                <w:rFonts w:hint="eastAsia"/>
                <w:sz w:val="21"/>
                <w:szCs w:val="21"/>
              </w:rPr>
              <w:t>——关注顾客需求，通过持续改进增强用户满意；</w:t>
            </w:r>
          </w:p>
          <w:p>
            <w:pPr>
              <w:spacing w:line="360" w:lineRule="auto"/>
              <w:rPr>
                <w:rFonts w:hint="eastAsia"/>
                <w:sz w:val="21"/>
                <w:szCs w:val="21"/>
              </w:rPr>
            </w:pPr>
            <w:r>
              <w:rPr>
                <w:rFonts w:hint="eastAsia"/>
                <w:sz w:val="21"/>
                <w:szCs w:val="21"/>
              </w:rPr>
              <w:t>——遵守国家和地方各项法律法规，履行合规义务；</w:t>
            </w:r>
          </w:p>
          <w:p>
            <w:pPr>
              <w:spacing w:line="360" w:lineRule="auto"/>
              <w:rPr>
                <w:rFonts w:hint="eastAsia"/>
                <w:sz w:val="21"/>
                <w:szCs w:val="21"/>
              </w:rPr>
            </w:pPr>
            <w:r>
              <w:rPr>
                <w:rFonts w:hint="eastAsia"/>
                <w:sz w:val="21"/>
                <w:szCs w:val="21"/>
              </w:rPr>
              <w:t>——持续改进管理体系过程，提升服务质量、安全绩效。</w:t>
            </w:r>
          </w:p>
          <w:p>
            <w:pPr>
              <w:spacing w:line="360" w:lineRule="auto"/>
              <w:rPr>
                <w:rFonts w:hint="eastAsia"/>
                <w:sz w:val="21"/>
                <w:szCs w:val="21"/>
              </w:rPr>
            </w:pPr>
            <w:r>
              <w:rPr>
                <w:rFonts w:hint="eastAsia"/>
                <w:sz w:val="21"/>
                <w:szCs w:val="21"/>
              </w:rPr>
              <w:t>公司管理层及相关部门将持续关注相关方需求的变化，必要时通过评估风险和机遇，调整管理体系目标和指标或变更管理过程以适应这些变化或实现改进。</w:t>
            </w:r>
          </w:p>
          <w:p>
            <w:pPr>
              <w:spacing w:line="360" w:lineRule="auto"/>
              <w:rPr>
                <w:rFonts w:ascii="宋体" w:hAnsi="宋体" w:cs="宋体"/>
                <w:szCs w:val="21"/>
              </w:rPr>
            </w:pPr>
            <w:r>
              <w:rPr>
                <w:rFonts w:hint="eastAsia"/>
                <w:sz w:val="21"/>
                <w:szCs w:val="21"/>
              </w:rPr>
              <w:t>对这些相关方监视和评审的方法有：上级文件、标准和规范的获取、设备器具检定、沟通等。</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pPr>
            <w:r>
              <w:rPr>
                <w:rFonts w:hint="eastAsia"/>
              </w:rPr>
              <w:t>质量/环境/职业健康安全管理体系及其过程</w:t>
            </w:r>
          </w:p>
        </w:tc>
        <w:tc>
          <w:tcPr>
            <w:tcW w:w="960" w:type="dxa"/>
          </w:tcPr>
          <w:p>
            <w:pPr>
              <w:spacing w:line="360" w:lineRule="auto"/>
            </w:pPr>
            <w:r>
              <w:t>QEO</w:t>
            </w:r>
            <w:r>
              <w:rPr>
                <w:rFonts w:hint="eastAsia"/>
              </w:rPr>
              <w:t>4.4</w:t>
            </w:r>
          </w:p>
        </w:tc>
        <w:tc>
          <w:tcPr>
            <w:tcW w:w="10004" w:type="dxa"/>
          </w:tcPr>
          <w:p>
            <w:pPr>
              <w:spacing w:line="360" w:lineRule="auto"/>
            </w:pPr>
            <w:r>
              <w:rPr>
                <w:rFonts w:hint="eastAsia"/>
              </w:rPr>
              <w:t>该公司20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日根据</w:t>
            </w:r>
            <w:r>
              <w:rPr>
                <w:rFonts w:hint="eastAsia"/>
                <w:lang w:val="en-US" w:eastAsia="zh-CN"/>
              </w:rPr>
              <w:t>新版GB/T 45001-2020《职业健康安全管理体系要求及使用指南》标准，结合GB/T 19001-2016和GB/T 24001-2016标准要求，</w:t>
            </w:r>
            <w:r>
              <w:rPr>
                <w:rFonts w:hint="eastAsia"/>
              </w:rPr>
              <w:t>编制</w:t>
            </w:r>
            <w:r>
              <w:rPr>
                <w:rFonts w:hint="eastAsia"/>
                <w:lang w:val="en-US" w:eastAsia="zh-CN"/>
              </w:rPr>
              <w:t>了新版的</w:t>
            </w:r>
            <w:r>
              <w:rPr>
                <w:rFonts w:hint="eastAsia"/>
              </w:rPr>
              <w:t>管理手册、程序文件和记录表格，制定了管理方针和管理目标。实施了管理体系，通过对过程检测结果进行分析管理体系得以不断改进。负责人说管理体系运行以来效果不错管理有了一定的提高。对各项管理目标完成情况进行统计分析，出示了自体系运行以来各管理目标分解及完成情况记录。</w:t>
            </w:r>
          </w:p>
          <w:p>
            <w:pPr>
              <w:spacing w:line="360" w:lineRule="auto"/>
            </w:pPr>
            <w:r>
              <w:rPr>
                <w:rFonts w:hint="eastAsia"/>
              </w:rPr>
              <w:t>与负责人交流：部门确定了满足与管理体系有关的客户及相关方的要求。</w:t>
            </w:r>
          </w:p>
          <w:p>
            <w:pPr>
              <w:spacing w:line="360" w:lineRule="auto"/>
            </w:pPr>
            <w:r>
              <w:rPr>
                <w:rFonts w:hint="eastAsia"/>
              </w:rPr>
              <w:t>1.公司通过监视和评审有关相关方及其有关要求的信息，实现持续改进。如供应商管理、合同条款、组织营业执照和质量环境职业健康安全及使用的安全可靠性、服务的评价等风险和市场开拓的机遇。</w:t>
            </w:r>
          </w:p>
          <w:p>
            <w:pPr>
              <w:spacing w:line="360" w:lineRule="auto"/>
            </w:pPr>
            <w:r>
              <w:rPr>
                <w:rFonts w:hint="eastAsia"/>
              </w:rPr>
              <w:t>2. 应对风险的措施：</w:t>
            </w:r>
          </w:p>
          <w:p>
            <w:pPr>
              <w:spacing w:line="360" w:lineRule="auto"/>
            </w:pPr>
            <w:r>
              <w:rPr>
                <w:rFonts w:hint="eastAsia"/>
              </w:rPr>
              <w:t>a) 通过供应商的选择和评定来控制风险，选择供应商时考核其资质及其提供合格产品和合格服务的能力，应与客户需求相匹配。</w:t>
            </w:r>
          </w:p>
          <w:p>
            <w:pPr>
              <w:spacing w:line="360" w:lineRule="auto"/>
            </w:pPr>
            <w:r>
              <w:rPr>
                <w:rFonts w:hint="eastAsia"/>
              </w:rPr>
              <w:t>b)通过签订客户协议和供应商协议的条款把控风险。从各个方面确保许可范围内的租赁、设计等质量，过程环境影响、危险源管理等，提高客户满意度，同时对风险加以控制。</w:t>
            </w:r>
          </w:p>
          <w:p>
            <w:pPr>
              <w:spacing w:line="360" w:lineRule="auto"/>
            </w:pPr>
            <w:r>
              <w:rPr>
                <w:rFonts w:hint="eastAsia"/>
              </w:rPr>
              <w:t>3.识别进行经营范围内的</w:t>
            </w:r>
            <w:r>
              <w:rPr>
                <w:rFonts w:hint="eastAsia"/>
                <w:lang w:eastAsia="zh-CN"/>
              </w:rPr>
              <w:t>抽油泵（节能环保抽油泵，耐磨防腐抽油泵，防砂抽油泵、螺杆式抽油泵，整筒式抽油泵）及配件，螺杆钻具、螺杆泵驱动装置及专用变频控制柜，钻采配件生产</w:t>
            </w:r>
            <w:r>
              <w:rPr>
                <w:rFonts w:hint="eastAsia"/>
              </w:rPr>
              <w:t>风险及具体应对措施，采购的风险，严格供应商评审，选择合格供方，要求其销售能力和产品质量满足客户要求，并严格进行合格供方业绩评价。通过采购合同或协议与</w:t>
            </w:r>
            <w:r>
              <w:rPr>
                <w:rFonts w:hint="eastAsia"/>
                <w:lang w:val="en-US" w:eastAsia="zh-CN"/>
              </w:rPr>
              <w:t>服务</w:t>
            </w:r>
            <w:r>
              <w:rPr>
                <w:rFonts w:hint="eastAsia"/>
              </w:rPr>
              <w:t>合同或协议的条款匹配来控制风险，产品经检验后交货来控制产品质量的风险。</w:t>
            </w:r>
          </w:p>
          <w:p>
            <w:pPr>
              <w:spacing w:line="360" w:lineRule="auto"/>
            </w:pPr>
            <w:r>
              <w:rPr>
                <w:rFonts w:hint="eastAsia"/>
              </w:rPr>
              <w:t>4.通过对经营范围内的</w:t>
            </w:r>
            <w:r>
              <w:rPr>
                <w:rFonts w:hint="eastAsia"/>
                <w:sz w:val="20"/>
                <w:lang w:eastAsia="zh-CN"/>
              </w:rPr>
              <w:t>抽油泵（节能环保抽油泵，耐磨防腐抽油泵，防砂抽油泵、螺杆式抽油泵，整筒式抽油泵）及配件，螺杆钻具、螺杆泵驱动装置及专用变频控制柜，钻采配件生产</w:t>
            </w:r>
            <w:r>
              <w:rPr>
                <w:rFonts w:hint="eastAsia"/>
              </w:rPr>
              <w:t>的风险控制和销售环保、交付等风险控制，在具体操作过程中实施的措施，实现了对整个供应链管理的风险控制，为客户提供更全面的经营范围内的</w:t>
            </w:r>
            <w:r>
              <w:rPr>
                <w:rFonts w:hint="eastAsia"/>
                <w:sz w:val="20"/>
                <w:lang w:eastAsia="zh-CN"/>
              </w:rPr>
              <w:t>抽油泵（节能环保抽油泵，耐磨防腐抽油泵，防砂抽油泵、螺杆式抽油泵，整筒式抽油泵）及配件，螺杆钻具、螺杆泵驱动装置及专用变频控制柜，钻采配件生产</w:t>
            </w:r>
            <w:r>
              <w:rPr>
                <w:rFonts w:hint="eastAsia"/>
              </w:rPr>
              <w:t>。</w:t>
            </w:r>
          </w:p>
          <w:p>
            <w:pPr>
              <w:spacing w:line="360" w:lineRule="auto"/>
              <w:jc w:val="left"/>
              <w:rPr>
                <w:rFonts w:ascii="宋体" w:hAnsi="宋体" w:cs="宋体"/>
                <w:szCs w:val="21"/>
              </w:rPr>
            </w:pPr>
            <w:r>
              <w:rPr>
                <w:rFonts w:hint="eastAsia" w:ascii="宋体" w:hAnsi="宋体" w:cs="宋体"/>
                <w:szCs w:val="21"/>
              </w:rPr>
              <w:t>外包情况：</w:t>
            </w:r>
            <w:r>
              <w:rPr>
                <w:rFonts w:hint="eastAsia"/>
                <w:color w:val="0000FF"/>
                <w:sz w:val="21"/>
                <w:szCs w:val="21"/>
                <w:lang w:val="en-US" w:eastAsia="zh-CN"/>
              </w:rPr>
              <w:t>热处</w:t>
            </w:r>
            <w:r>
              <w:rPr>
                <w:rFonts w:hint="eastAsia" w:ascii="Times New Roman" w:hAnsi="Times New Roman" w:cs="Times New Roman"/>
                <w:color w:val="0000FF"/>
                <w:sz w:val="21"/>
                <w:szCs w:val="21"/>
                <w:lang w:val="en-US" w:eastAsia="zh-CN"/>
              </w:rPr>
              <w:t>理、探伤、表</w:t>
            </w:r>
            <w:r>
              <w:rPr>
                <w:rFonts w:hint="eastAsia"/>
                <w:color w:val="0000FF"/>
                <w:sz w:val="21"/>
                <w:szCs w:val="21"/>
                <w:lang w:val="en-US" w:eastAsia="zh-CN"/>
              </w:rPr>
              <w:t>面处理（喷漆、电镀、磷化）、</w:t>
            </w:r>
            <w:r>
              <w:rPr>
                <w:rFonts w:hint="eastAsia" w:ascii="Times New Roman" w:hAnsi="Times New Roman" w:cs="Times New Roman"/>
                <w:color w:val="0000FF"/>
                <w:sz w:val="21"/>
                <w:szCs w:val="21"/>
              </w:rPr>
              <w:t>产品运输。</w:t>
            </w:r>
          </w:p>
          <w:p>
            <w:pPr>
              <w:spacing w:line="360" w:lineRule="auto"/>
              <w:jc w:val="left"/>
              <w:rPr>
                <w:rFonts w:hint="eastAsia" w:ascii="Times New Roman" w:hAnsi="Times New Roman" w:cs="Times New Roman"/>
                <w:szCs w:val="22"/>
                <w:lang w:eastAsia="zh-CN"/>
              </w:rPr>
            </w:pPr>
            <w:r>
              <w:rPr>
                <w:rFonts w:hint="eastAsia"/>
              </w:rPr>
              <w:t>采用过程方法建立、实施管理体系，运用PDCA方式指导体系各过程运作，并将利及基于风险思考的方式，对管理体系过程进行了识别确定。公司建立文件化管理体系，有《管理手册》、《程序文</w:t>
            </w:r>
            <w:r>
              <w:rPr>
                <w:rFonts w:hint="eastAsia" w:ascii="Times New Roman" w:hAnsi="Times New Roman" w:cs="Times New Roman"/>
                <w:szCs w:val="22"/>
              </w:rPr>
              <w:t>件》、《管理制度》等</w:t>
            </w:r>
            <w:r>
              <w:rPr>
                <w:rFonts w:hint="eastAsia" w:ascii="Times New Roman" w:hAnsi="Times New Roman" w:cs="Times New Roman"/>
                <w:szCs w:val="22"/>
                <w:lang w:eastAsia="zh-CN"/>
              </w:rPr>
              <w:t>。</w:t>
            </w:r>
          </w:p>
          <w:p>
            <w:pPr>
              <w:spacing w:line="360" w:lineRule="auto"/>
              <w:jc w:val="left"/>
              <w:rPr>
                <w:rFonts w:hint="eastAsia" w:ascii="Times New Roman" w:hAnsi="Times New Roman" w:cs="Times New Roman"/>
                <w:szCs w:val="22"/>
              </w:rPr>
            </w:pPr>
            <w:r>
              <w:rPr>
                <w:rFonts w:hint="eastAsia" w:ascii="Times New Roman" w:hAnsi="Times New Roman" w:cs="Times New Roman"/>
                <w:szCs w:val="22"/>
              </w:rPr>
              <w:t>1）</w:t>
            </w:r>
            <w:r>
              <w:rPr>
                <w:rFonts w:hint="eastAsia" w:ascii="Times New Roman" w:hAnsi="Times New Roman" w:cs="Times New Roman"/>
                <w:szCs w:val="22"/>
                <w:lang w:val="en-US" w:eastAsia="zh-CN"/>
              </w:rPr>
              <w:t>抽</w:t>
            </w:r>
            <w:r>
              <w:rPr>
                <w:rFonts w:hint="eastAsia" w:ascii="Times New Roman" w:hAnsi="Times New Roman" w:cs="Times New Roman"/>
                <w:szCs w:val="22"/>
              </w:rPr>
              <w:t>油泵：下料→粗加工→热处理（外包）→探伤</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外包</w:t>
            </w:r>
            <w:r>
              <w:rPr>
                <w:rFonts w:hint="eastAsia" w:ascii="Times New Roman" w:hAnsi="Times New Roman" w:cs="Times New Roman"/>
                <w:szCs w:val="22"/>
                <w:lang w:eastAsia="zh-CN"/>
              </w:rPr>
              <w:t>）</w:t>
            </w:r>
            <w:r>
              <w:rPr>
                <w:rFonts w:hint="eastAsia" w:ascii="Times New Roman" w:hAnsi="Times New Roman" w:cs="Times New Roman"/>
                <w:szCs w:val="22"/>
              </w:rPr>
              <w:t>→精加工→螺纹磷化</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外包</w:t>
            </w:r>
            <w:r>
              <w:rPr>
                <w:rFonts w:hint="eastAsia" w:ascii="Times New Roman" w:hAnsi="Times New Roman" w:cs="Times New Roman"/>
                <w:szCs w:val="22"/>
                <w:lang w:eastAsia="zh-CN"/>
              </w:rPr>
              <w:t>）</w:t>
            </w:r>
            <w:r>
              <w:rPr>
                <w:rFonts w:hint="eastAsia" w:ascii="Times New Roman" w:hAnsi="Times New Roman" w:cs="Times New Roman"/>
                <w:szCs w:val="22"/>
              </w:rPr>
              <w:t>→组装→成品检验→喷漆（外包）→打码及产品标识→包装入库</w:t>
            </w:r>
          </w:p>
          <w:p>
            <w:pPr>
              <w:spacing w:line="360" w:lineRule="auto"/>
              <w:jc w:val="left"/>
              <w:rPr>
                <w:rFonts w:hint="eastAsia" w:ascii="Times New Roman" w:hAnsi="Times New Roman" w:cs="Times New Roman"/>
                <w:szCs w:val="22"/>
              </w:rPr>
            </w:pPr>
            <w:r>
              <w:rPr>
                <w:rFonts w:hint="eastAsia" w:ascii="Times New Roman" w:hAnsi="Times New Roman" w:cs="Times New Roman"/>
                <w:szCs w:val="22"/>
              </w:rPr>
              <w:t>2）螺杆泵驱动装置</w:t>
            </w:r>
            <w:r>
              <w:rPr>
                <w:rFonts w:hint="eastAsia" w:ascii="Times New Roman" w:hAnsi="Times New Roman" w:cs="Times New Roman"/>
                <w:szCs w:val="22"/>
                <w:lang w:eastAsia="zh-CN"/>
              </w:rPr>
              <w:t>：</w:t>
            </w:r>
            <w:r>
              <w:rPr>
                <w:rFonts w:hint="eastAsia" w:ascii="Times New Roman" w:hAnsi="Times New Roman" w:cs="Times New Roman"/>
                <w:szCs w:val="22"/>
              </w:rPr>
              <w:t>下料→粗加工→热处理（外包）→精加工→组装→成品压力试验 →成品压力试验→喷漆（外包）→打码及产品标识→包装入库</w:t>
            </w:r>
          </w:p>
          <w:p>
            <w:pPr>
              <w:spacing w:line="360" w:lineRule="auto"/>
              <w:jc w:val="left"/>
              <w:rPr>
                <w:rFonts w:hint="eastAsia" w:ascii="Times New Roman" w:hAnsi="Times New Roman" w:cs="Times New Roman"/>
                <w:szCs w:val="22"/>
              </w:rPr>
            </w:pPr>
            <w:r>
              <w:rPr>
                <w:rFonts w:hint="eastAsia" w:ascii="Times New Roman" w:hAnsi="Times New Roman" w:cs="Times New Roman"/>
                <w:szCs w:val="22"/>
              </w:rPr>
              <w:t>3）螺杆泵专用变频控制柜</w:t>
            </w:r>
            <w:r>
              <w:rPr>
                <w:rFonts w:hint="eastAsia" w:ascii="Times New Roman" w:hAnsi="Times New Roman" w:cs="Times New Roman"/>
                <w:szCs w:val="22"/>
                <w:lang w:eastAsia="zh-CN"/>
              </w:rPr>
              <w:t>：</w:t>
            </w:r>
            <w:r>
              <w:rPr>
                <w:rFonts w:hint="eastAsia" w:ascii="Times New Roman" w:hAnsi="Times New Roman" w:cs="Times New Roman"/>
                <w:szCs w:val="22"/>
              </w:rPr>
              <w:t>板材下料→折弯成型→开孔→焊接★→喷漆（外包）→电气元件装配→调试→成品检验→打码及产品标识→包装入库</w:t>
            </w:r>
          </w:p>
          <w:p>
            <w:pPr>
              <w:spacing w:line="360" w:lineRule="auto"/>
              <w:jc w:val="left"/>
              <w:rPr>
                <w:rFonts w:hint="eastAsia" w:ascii="Times New Roman" w:hAnsi="Times New Roman" w:cs="Times New Roman"/>
                <w:szCs w:val="22"/>
                <w:lang w:val="en-US" w:eastAsia="zh-CN"/>
              </w:rPr>
            </w:pPr>
            <w:r>
              <w:rPr>
                <w:rFonts w:hint="eastAsia" w:ascii="Times New Roman" w:hAnsi="Times New Roman" w:cs="Times New Roman"/>
                <w:szCs w:val="22"/>
              </w:rPr>
              <w:t>4）石油钻采配件</w:t>
            </w:r>
            <w:r>
              <w:rPr>
                <w:rFonts w:hint="eastAsia" w:ascii="Times New Roman" w:hAnsi="Times New Roman" w:cs="Times New Roman"/>
                <w:szCs w:val="22"/>
                <w:lang w:eastAsia="zh-CN"/>
              </w:rPr>
              <w:t>：</w:t>
            </w:r>
            <w:r>
              <w:rPr>
                <w:rFonts w:hint="eastAsia" w:ascii="Times New Roman" w:hAnsi="Times New Roman" w:cs="Times New Roman"/>
                <w:szCs w:val="22"/>
              </w:rPr>
              <w:t>下料→粗加工→→精加工→成品检验→打码及产品标识→包装入库</w:t>
            </w:r>
          </w:p>
          <w:p>
            <w:pPr>
              <w:spacing w:line="360" w:lineRule="auto"/>
              <w:jc w:val="left"/>
            </w:pPr>
            <w:r>
              <w:rPr>
                <w:rFonts w:hint="eastAsia"/>
                <w:lang w:val="en-US" w:eastAsia="zh-CN"/>
              </w:rPr>
              <w:t>新版</w:t>
            </w:r>
            <w:r>
              <w:rPr>
                <w:rFonts w:hint="eastAsia"/>
              </w:rPr>
              <w:t>管理体系从</w:t>
            </w:r>
            <w:r>
              <w:rPr>
                <w:rFonts w:hint="eastAsia"/>
                <w:lang w:eastAsia="zh-CN"/>
              </w:rPr>
              <w:t>2020年</w:t>
            </w:r>
            <w:r>
              <w:rPr>
                <w:rFonts w:hint="eastAsia"/>
                <w:lang w:val="en-US" w:eastAsia="zh-CN"/>
              </w:rPr>
              <w:t>6</w:t>
            </w:r>
            <w:r>
              <w:rPr>
                <w:rFonts w:hint="eastAsia"/>
                <w:lang w:eastAsia="zh-CN"/>
              </w:rPr>
              <w:t>月1日</w:t>
            </w:r>
            <w:r>
              <w:rPr>
                <w:rFonts w:hint="eastAsia"/>
              </w:rPr>
              <w:t>实施以来，体系运行基本正常，符合要求。</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spacing w:line="360" w:lineRule="auto"/>
              <w:rPr>
                <w:color w:val="auto"/>
              </w:rPr>
            </w:pPr>
            <w:r>
              <w:rPr>
                <w:rFonts w:hint="eastAsia"/>
                <w:color w:val="auto"/>
              </w:rPr>
              <w:t>领导作用与承诺</w:t>
            </w:r>
          </w:p>
          <w:p>
            <w:pPr>
              <w:spacing w:line="360" w:lineRule="auto"/>
              <w:rPr>
                <w:color w:val="auto"/>
              </w:rPr>
            </w:pPr>
            <w:r>
              <w:rPr>
                <w:rFonts w:hint="eastAsia"/>
                <w:color w:val="auto"/>
              </w:rPr>
              <w:t>--总则</w:t>
            </w:r>
          </w:p>
        </w:tc>
        <w:tc>
          <w:tcPr>
            <w:tcW w:w="960" w:type="dxa"/>
          </w:tcPr>
          <w:p>
            <w:pPr>
              <w:spacing w:line="360" w:lineRule="auto"/>
              <w:rPr>
                <w:color w:val="auto"/>
              </w:rPr>
            </w:pPr>
            <w:r>
              <w:rPr>
                <w:rFonts w:hint="eastAsia"/>
                <w:color w:val="auto"/>
              </w:rPr>
              <w:t>QE</w:t>
            </w:r>
            <w:r>
              <w:rPr>
                <w:color w:val="auto"/>
              </w:rPr>
              <w:t>O</w:t>
            </w:r>
          </w:p>
          <w:p>
            <w:pPr>
              <w:spacing w:line="360" w:lineRule="auto"/>
              <w:rPr>
                <w:color w:val="auto"/>
              </w:rPr>
            </w:pPr>
            <w:r>
              <w:rPr>
                <w:rFonts w:hint="eastAsia"/>
                <w:color w:val="auto"/>
              </w:rPr>
              <w:t>5.1</w:t>
            </w:r>
          </w:p>
          <w:p>
            <w:pPr>
              <w:spacing w:line="360" w:lineRule="auto"/>
              <w:rPr>
                <w:color w:val="auto"/>
              </w:rPr>
            </w:pPr>
            <w:r>
              <w:rPr>
                <w:rFonts w:hint="eastAsia"/>
                <w:color w:val="auto"/>
              </w:rPr>
              <w:t>5.1.1</w:t>
            </w:r>
          </w:p>
          <w:p>
            <w:pPr>
              <w:spacing w:line="360" w:lineRule="auto"/>
              <w:rPr>
                <w:color w:val="auto"/>
              </w:rPr>
            </w:pPr>
          </w:p>
        </w:tc>
        <w:tc>
          <w:tcPr>
            <w:tcW w:w="10004" w:type="dxa"/>
            <w:vAlign w:val="center"/>
          </w:tcPr>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公司负责人说主要承诺有：</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组织分析本公司外部因素与内部因素，识别和确定本公司所面临的风险与机遇，明晰本公司战略方向。</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组织识别和确定相关方（特别是顾客）的需求和期望，并采取措施达到顾客满意。</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对建立、实施质量、环境、职业健康安全管理体系并持续改进其有效性所做出的承诺提供证据；</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向本公司传达满足顾客要求和法律法规、环境污染预防、职业健康安全预防要求的重要性，认真遵守国家法律、法规，制订本公司方针和目标，批准和发布《质量、环境、职业健康安全管理手册》；</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确保制定质量、环境、职业健康安全管理体系的方针和目标</w:t>
            </w:r>
            <w:r>
              <w:rPr>
                <w:rFonts w:ascii="宋体" w:hAnsi="宋体"/>
                <w:color w:val="auto"/>
                <w:sz w:val="21"/>
                <w:szCs w:val="21"/>
              </w:rPr>
              <w:t>,</w:t>
            </w:r>
            <w:r>
              <w:rPr>
                <w:rFonts w:hint="eastAsia" w:ascii="宋体" w:hAnsi="宋体"/>
                <w:color w:val="auto"/>
                <w:sz w:val="21"/>
                <w:szCs w:val="21"/>
              </w:rPr>
              <w:t>并与组织环境和战略方向相一致；</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以文件形式规定与产品和服务质量、环境污染预防、职业健康安全预防活动有影响人员的岗位、职责和权限；</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为质量、环境、职业健康安全管理体系的有效运行确定资源需求，并提供充分的资源；</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按期主持管理评审，确保本公司质量、环境、职业健康安全管理体系的适宜性、有效性和持续改进；</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领导本公司中的产品和质量、环境污染预防、职业健康安全预防管理工作，对与产品和服务质量、环境污染预防、职业健康安全预防有关的重大问题做出决策，并对本公司的产品和服务质量、环境污染预防、职业健康安全预防负全面责任；</w:t>
            </w:r>
          </w:p>
          <w:p>
            <w:pPr>
              <w:spacing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负责本公司全面管理，有权对一切事务的处理进行最终决策。</w:t>
            </w:r>
          </w:p>
          <w:p>
            <w:pPr>
              <w:spacing w:line="360" w:lineRule="auto"/>
              <w:ind w:firstLine="570"/>
              <w:rPr>
                <w:rFonts w:ascii="宋体" w:hAnsi="宋体" w:cs="宋体"/>
                <w:color w:val="auto"/>
                <w:sz w:val="21"/>
                <w:szCs w:val="21"/>
              </w:rPr>
            </w:pPr>
            <w:r>
              <w:rPr>
                <w:rFonts w:hint="eastAsia" w:ascii="宋体" w:hAnsi="宋体" w:cs="宋体"/>
                <w:color w:val="auto"/>
                <w:sz w:val="21"/>
                <w:szCs w:val="21"/>
              </w:rPr>
              <w:t>公司对全体员工进行了顾客关注焦点、环保、职业健康安全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质量环境职业健康安全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承诺基本实现，评价周期内没有违反的情况发生。</w:t>
            </w:r>
          </w:p>
        </w:tc>
        <w:tc>
          <w:tcPr>
            <w:tcW w:w="1585" w:type="dxa"/>
          </w:tcPr>
          <w:p>
            <w:pPr>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pPr>
            <w:r>
              <w:rPr>
                <w:rFonts w:hint="eastAsia"/>
              </w:rPr>
              <w:t>以顾客为关注焦点</w:t>
            </w:r>
          </w:p>
          <w:p>
            <w:pPr>
              <w:spacing w:line="360" w:lineRule="auto"/>
            </w:pPr>
          </w:p>
        </w:tc>
        <w:tc>
          <w:tcPr>
            <w:tcW w:w="960" w:type="dxa"/>
          </w:tcPr>
          <w:p>
            <w:pPr>
              <w:spacing w:line="360" w:lineRule="auto"/>
            </w:pPr>
            <w:r>
              <w:rPr>
                <w:rFonts w:hint="eastAsia"/>
              </w:rPr>
              <w:t>Q5.1.2</w:t>
            </w:r>
          </w:p>
          <w:p>
            <w:pPr>
              <w:spacing w:line="360" w:lineRule="auto"/>
            </w:pP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总经理证实其以顾客为关注焦点的领导作用和承诺，通过以下方面实现：</w:t>
            </w:r>
          </w:p>
          <w:p>
            <w:pPr>
              <w:spacing w:line="360" w:lineRule="auto"/>
              <w:ind w:firstLine="420" w:firstLineChars="200"/>
              <w:rPr>
                <w:rFonts w:hint="eastAsia" w:ascii="宋体" w:hAnsi="宋体" w:cs="宋体"/>
                <w:szCs w:val="21"/>
              </w:rPr>
            </w:pPr>
            <w:r>
              <w:rPr>
                <w:rFonts w:hint="eastAsia" w:ascii="宋体" w:hAnsi="宋体" w:cs="宋体"/>
                <w:szCs w:val="21"/>
              </w:rPr>
              <w:t>a）确定、理解并持续满足顾客要求以及适用的法律法规要求，</w:t>
            </w:r>
            <w:r>
              <w:rPr>
                <w:rFonts w:hint="eastAsia" w:ascii="宋体" w:hAnsi="宋体" w:cs="宋体"/>
                <w:szCs w:val="21"/>
                <w:lang w:eastAsia="zh-CN"/>
              </w:rPr>
              <w:t>办公室</w:t>
            </w:r>
            <w:r>
              <w:rPr>
                <w:rFonts w:hint="eastAsia" w:ascii="宋体" w:hAnsi="宋体" w:cs="宋体"/>
                <w:szCs w:val="21"/>
              </w:rPr>
              <w:t>编制适用的与</w:t>
            </w:r>
            <w:r>
              <w:rPr>
                <w:rFonts w:hint="eastAsia" w:ascii="宋体" w:hAnsi="宋体" w:cs="宋体"/>
                <w:szCs w:val="21"/>
                <w:lang w:eastAsia="zh-CN"/>
              </w:rPr>
              <w:t>抽油泵（节能环保抽油泵，耐磨防腐抽油泵，防砂抽油泵、螺杆式抽油泵，整筒式抽油泵）及配件，螺杆钻具、螺杆泵驱动装置及专用变频控制柜，钻采配件生产</w:t>
            </w:r>
            <w:r>
              <w:rPr>
                <w:rFonts w:hint="eastAsia" w:ascii="宋体" w:hAnsi="宋体" w:cs="宋体"/>
                <w:szCs w:val="21"/>
              </w:rPr>
              <w:t>有关的法律、法规清单。</w:t>
            </w:r>
          </w:p>
          <w:p>
            <w:pPr>
              <w:spacing w:line="360" w:lineRule="auto"/>
              <w:rPr>
                <w:rFonts w:hint="eastAsia" w:ascii="宋体" w:hAnsi="宋体" w:cs="宋体"/>
                <w:szCs w:val="21"/>
              </w:rPr>
            </w:pPr>
            <w:r>
              <w:rPr>
                <w:rFonts w:hint="eastAsia" w:ascii="宋体" w:hAnsi="宋体" w:cs="宋体"/>
                <w:szCs w:val="21"/>
              </w:rPr>
              <w:t xml:space="preserve">    b）确定和应对能够影响产品、服务符合性以及增强顾客满意能力的风险和机遇；</w:t>
            </w:r>
          </w:p>
          <w:p>
            <w:pPr>
              <w:spacing w:line="360" w:lineRule="auto"/>
              <w:ind w:firstLine="480"/>
              <w:rPr>
                <w:rFonts w:ascii="宋体" w:hAnsi="宋体" w:cs="宋体"/>
                <w:szCs w:val="21"/>
              </w:rPr>
            </w:pPr>
            <w:r>
              <w:rPr>
                <w:rFonts w:hint="eastAsia" w:ascii="宋体" w:hAnsi="宋体" w:cs="宋体"/>
                <w:szCs w:val="21"/>
              </w:rPr>
              <w:t>c）始终致力于增强顾客满意。</w:t>
            </w:r>
            <w:r>
              <w:rPr>
                <w:rFonts w:hint="eastAsia" w:ascii="宋体" w:hAnsi="宋体" w:cs="宋体"/>
                <w:szCs w:val="21"/>
              </w:rPr>
              <w:br w:type="textWrapping"/>
            </w:r>
            <w:r>
              <w:rPr>
                <w:rFonts w:hint="eastAsia" w:ascii="宋体" w:hAnsi="宋体" w:cs="宋体"/>
                <w:szCs w:val="21"/>
              </w:rPr>
              <w:t>详见审核Q9.1.2条款记录。</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pPr>
            <w:r>
              <w:rPr>
                <w:rFonts w:hint="eastAsia"/>
              </w:rPr>
              <w:t>方针</w:t>
            </w:r>
          </w:p>
          <w:p>
            <w:pPr>
              <w:spacing w:line="360" w:lineRule="auto"/>
            </w:pPr>
            <w:r>
              <w:rPr>
                <w:rFonts w:hint="eastAsia"/>
              </w:rPr>
              <w:t>制定方针</w:t>
            </w:r>
          </w:p>
          <w:p>
            <w:pPr>
              <w:spacing w:line="360" w:lineRule="auto"/>
            </w:pPr>
            <w:r>
              <w:rPr>
                <w:rFonts w:hint="eastAsia"/>
              </w:rPr>
              <w:t>沟通方针</w:t>
            </w:r>
          </w:p>
        </w:tc>
        <w:tc>
          <w:tcPr>
            <w:tcW w:w="960" w:type="dxa"/>
          </w:tcPr>
          <w:p>
            <w:pPr>
              <w:spacing w:line="360" w:lineRule="auto"/>
            </w:pPr>
            <w:r>
              <w:rPr>
                <w:rFonts w:hint="eastAsia"/>
              </w:rPr>
              <w:t>QE</w:t>
            </w:r>
            <w:r>
              <w:t>O</w:t>
            </w:r>
            <w:r>
              <w:rPr>
                <w:rFonts w:hint="eastAsia"/>
              </w:rPr>
              <w:t>5.2</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该公司管理方针：</w:t>
            </w:r>
          </w:p>
          <w:p>
            <w:pPr>
              <w:spacing w:line="360" w:lineRule="auto"/>
              <w:ind w:firstLine="420" w:firstLineChars="200"/>
              <w:rPr>
                <w:rFonts w:hint="eastAsia" w:ascii="宋体" w:hAnsi="宋体" w:cs="宋体"/>
                <w:szCs w:val="21"/>
              </w:rPr>
            </w:pPr>
            <w:r>
              <w:rPr>
                <w:rFonts w:hint="eastAsia" w:ascii="宋体" w:hAnsi="宋体" w:cs="宋体"/>
                <w:szCs w:val="21"/>
              </w:rPr>
              <w:t>质量、环境、职业健康安全方针：</w:t>
            </w:r>
            <w:r>
              <w:rPr>
                <w:rFonts w:hint="eastAsia"/>
                <w:sz w:val="21"/>
                <w:szCs w:val="21"/>
              </w:rPr>
              <w:t>质量精益求精，服务及时周到；实现污染预防，注重节能降耗；及时消除隐患，保障健康安全；遵守法律法规，坚持持续改进</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360" w:lineRule="auto"/>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eastAsia="zh-CN"/>
              </w:rPr>
              <w:t>办公室</w:t>
            </w:r>
            <w:r>
              <w:rPr>
                <w:rFonts w:hint="eastAsia" w:ascii="宋体" w:hAnsi="宋体" w:cs="宋体"/>
                <w:szCs w:val="21"/>
              </w:rPr>
              <w:t>获取公司管理方针。</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spacing w:line="360" w:lineRule="auto"/>
            </w:pPr>
            <w:r>
              <w:rPr>
                <w:rFonts w:hint="eastAsia"/>
              </w:rPr>
              <w:t>组织的岗位、职责和权限</w:t>
            </w:r>
          </w:p>
          <w:p>
            <w:pPr>
              <w:spacing w:line="360" w:lineRule="auto"/>
            </w:pPr>
          </w:p>
        </w:tc>
        <w:tc>
          <w:tcPr>
            <w:tcW w:w="960" w:type="dxa"/>
          </w:tcPr>
          <w:p>
            <w:pPr>
              <w:spacing w:line="360" w:lineRule="auto"/>
            </w:pPr>
            <w:r>
              <w:t>QEO5.3</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确定了部门、各岗位人员职责、权限和相互关系，并在公司内对各级员工进行了必要的传达。对从事有关的管理、执行和验证人员规定其职责、权限及其相互关系，以实现公司管理方针和管理目标。建立、实施和保持公司管理体系所需的过程，公司设置了</w:t>
            </w:r>
            <w:r>
              <w:rPr>
                <w:rFonts w:hint="eastAsia"/>
                <w:color w:val="000000"/>
                <w:szCs w:val="21"/>
                <w:lang w:eastAsia="zh-CN"/>
              </w:rPr>
              <w:t>办公室</w:t>
            </w:r>
            <w:r>
              <w:rPr>
                <w:rFonts w:hint="eastAsia"/>
                <w:color w:val="000000"/>
                <w:szCs w:val="21"/>
              </w:rPr>
              <w:t>、</w:t>
            </w:r>
            <w:r>
              <w:rPr>
                <w:rFonts w:hint="eastAsia"/>
                <w:color w:val="000000"/>
                <w:szCs w:val="21"/>
                <w:lang w:val="en-US" w:eastAsia="zh-CN"/>
              </w:rPr>
              <w:t>供销部</w:t>
            </w:r>
            <w:r>
              <w:rPr>
                <w:rFonts w:hint="eastAsia"/>
                <w:color w:val="000000"/>
                <w:szCs w:val="21"/>
              </w:rPr>
              <w:t>、</w:t>
            </w:r>
            <w:r>
              <w:rPr>
                <w:rFonts w:hint="eastAsia"/>
                <w:color w:val="000000"/>
                <w:szCs w:val="21"/>
                <w:lang w:val="en-US" w:eastAsia="zh-CN"/>
              </w:rPr>
              <w:t>生技部、财务部、质检部</w:t>
            </w:r>
            <w:r>
              <w:rPr>
                <w:rFonts w:hint="eastAsia" w:ascii="宋体" w:hAnsi="宋体" w:cs="宋体"/>
                <w:szCs w:val="21"/>
              </w:rPr>
              <w:t>，并对各部门的职能进行了分配和规定。职业健康安全管理事务代表任命为</w:t>
            </w:r>
            <w:r>
              <w:rPr>
                <w:rFonts w:hint="eastAsia" w:ascii="宋体" w:hAnsi="宋体" w:cs="宋体"/>
                <w:szCs w:val="21"/>
                <w:lang w:val="en-US" w:eastAsia="zh-CN"/>
              </w:rPr>
              <w:t>徐中连</w:t>
            </w:r>
            <w:r>
              <w:rPr>
                <w:rFonts w:hint="eastAsia" w:ascii="宋体" w:hAnsi="宋体" w:cs="宋体"/>
                <w:szCs w:val="21"/>
              </w:rPr>
              <w:t>，公司对履行事务代表以及非管理类工作人员的协商与参与职责进行了规定。公司决定任命</w:t>
            </w:r>
            <w:r>
              <w:rPr>
                <w:rFonts w:hint="eastAsia" w:ascii="宋体" w:hAnsi="宋体" w:cs="宋体"/>
                <w:szCs w:val="21"/>
                <w:lang w:val="en-US" w:eastAsia="zh-CN"/>
              </w:rPr>
              <w:t>刘敬钦</w:t>
            </w:r>
            <w:r>
              <w:rPr>
                <w:rFonts w:hint="eastAsia" w:ascii="宋体" w:hAnsi="宋体" w:cs="宋体"/>
                <w:szCs w:val="21"/>
              </w:rPr>
              <w:t>为管理体系的管理者代表。对其职责和权限规定如下：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质量环境职业健康安全管理体系的过程得到建立、实施和保持；向最高管理者报告质量环境职业健康安全管理体系的业绩和任何改进的需求；在整个组织内贯彻环境保护及职业健康安全意识，促进顾客要求意识的形成；就质量环境职业健康安全管理体系有关事宜对外联络，负责与认证机构联络与协调方面的事项。</w:t>
            </w:r>
          </w:p>
          <w:p>
            <w:pPr>
              <w:spacing w:line="360" w:lineRule="auto"/>
              <w:ind w:firstLine="420" w:firstLineChars="200"/>
              <w:rPr>
                <w:rFonts w:ascii="宋体" w:hAnsi="宋体" w:cs="宋体"/>
                <w:szCs w:val="21"/>
              </w:rPr>
            </w:pPr>
            <w:r>
              <w:rPr>
                <w:rFonts w:hint="eastAsia" w:ascii="宋体" w:hAnsi="宋体" w:cs="宋体"/>
                <w:szCs w:val="21"/>
              </w:rPr>
              <w:t>询问管代</w:t>
            </w:r>
            <w:r>
              <w:rPr>
                <w:rFonts w:hint="eastAsia" w:ascii="宋体" w:hAnsi="宋体" w:cs="宋体"/>
                <w:szCs w:val="21"/>
                <w:lang w:val="en-US" w:eastAsia="zh-CN"/>
              </w:rPr>
              <w:t>刘敬钦</w:t>
            </w:r>
            <w:r>
              <w:rPr>
                <w:rFonts w:hint="eastAsia" w:ascii="宋体" w:hAnsi="宋体" w:cs="宋体"/>
                <w:szCs w:val="21"/>
              </w:rPr>
              <w:t>和职业健康安全事务代表</w:t>
            </w:r>
            <w:r>
              <w:rPr>
                <w:rFonts w:hint="eastAsia" w:ascii="宋体" w:hAnsi="宋体" w:cs="宋体"/>
                <w:szCs w:val="21"/>
                <w:lang w:val="en-US" w:eastAsia="zh-CN"/>
              </w:rPr>
              <w:t>徐中连</w:t>
            </w:r>
            <w:r>
              <w:rPr>
                <w:rFonts w:hint="eastAsia" w:ascii="宋体" w:hAnsi="宋体" w:cs="宋体"/>
                <w:szCs w:val="21"/>
              </w:rPr>
              <w:t>职责回答正确。</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spacing w:line="360" w:lineRule="auto"/>
            </w:pPr>
            <w:r>
              <w:rPr>
                <w:rFonts w:hint="eastAsia" w:ascii="宋体" w:hAnsi="宋体" w:cs="Arial"/>
                <w:spacing w:val="-6"/>
                <w:sz w:val="21"/>
                <w:szCs w:val="21"/>
              </w:rPr>
              <w:t>工作人员的协商和参与</w:t>
            </w:r>
          </w:p>
        </w:tc>
        <w:tc>
          <w:tcPr>
            <w:tcW w:w="960" w:type="dxa"/>
          </w:tcPr>
          <w:p>
            <w:pPr>
              <w:spacing w:line="360" w:lineRule="auto"/>
            </w:pPr>
            <w:r>
              <w:rPr>
                <w:rFonts w:hint="eastAsia" w:ascii="宋体" w:hAnsi="宋体" w:cs="Arial"/>
                <w:spacing w:val="-6"/>
                <w:sz w:val="21"/>
                <w:szCs w:val="21"/>
                <w:lang w:val="en-US" w:eastAsia="zh-CN"/>
              </w:rPr>
              <w:t>O：</w:t>
            </w:r>
            <w:r>
              <w:rPr>
                <w:rFonts w:hint="eastAsia" w:ascii="宋体" w:hAnsi="宋体" w:cs="Arial"/>
                <w:spacing w:val="-6"/>
                <w:sz w:val="21"/>
                <w:szCs w:val="21"/>
              </w:rPr>
              <w:t>5.4</w:t>
            </w:r>
          </w:p>
        </w:tc>
        <w:tc>
          <w:tcPr>
            <w:tcW w:w="10004" w:type="dxa"/>
            <w:vAlign w:val="center"/>
          </w:tcPr>
          <w:p>
            <w:pPr>
              <w:spacing w:line="360" w:lineRule="auto"/>
              <w:ind w:firstLine="420" w:firstLineChars="200"/>
              <w:rPr>
                <w:rFonts w:hint="eastAsia" w:ascii="宋体" w:hAnsi="宋体" w:cs="宋体"/>
                <w:szCs w:val="21"/>
              </w:rPr>
            </w:pPr>
            <w:r>
              <w:rPr>
                <w:rFonts w:hint="eastAsia" w:ascii="宋体" w:hAnsi="宋体" w:cs="宋体"/>
                <w:szCs w:val="21"/>
              </w:rPr>
              <w:t>职业健康安全管理事务代表任命为</w:t>
            </w:r>
            <w:r>
              <w:rPr>
                <w:rFonts w:hint="eastAsia" w:ascii="宋体" w:hAnsi="宋体" w:cs="宋体"/>
                <w:szCs w:val="21"/>
                <w:lang w:val="en-US" w:eastAsia="zh-CN"/>
              </w:rPr>
              <w:t>徐中连</w:t>
            </w:r>
            <w:r>
              <w:rPr>
                <w:rFonts w:hint="eastAsia" w:ascii="宋体" w:hAnsi="宋体" w:cs="宋体"/>
                <w:szCs w:val="21"/>
              </w:rPr>
              <w:t>，公司对履行事务代表以及非管理类工作人员的协商与参与职责进行了规定。</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rPr>
              <w:t>管理目标及其实现的策划</w:t>
            </w:r>
          </w:p>
          <w:p>
            <w:pPr>
              <w:spacing w:line="360" w:lineRule="auto"/>
            </w:pPr>
          </w:p>
        </w:tc>
        <w:tc>
          <w:tcPr>
            <w:tcW w:w="960" w:type="dxa"/>
          </w:tcPr>
          <w:p>
            <w:pPr>
              <w:spacing w:line="360" w:lineRule="auto"/>
            </w:pPr>
            <w:r>
              <w:rPr>
                <w:rFonts w:hint="eastAsia"/>
              </w:rPr>
              <w:t>QE</w:t>
            </w:r>
            <w:r>
              <w:t>O</w:t>
            </w:r>
            <w:r>
              <w:rPr>
                <w:rFonts w:hint="eastAsia"/>
              </w:rPr>
              <w:t>6.2</w:t>
            </w:r>
          </w:p>
        </w:tc>
        <w:tc>
          <w:tcPr>
            <w:tcW w:w="10004" w:type="dxa"/>
            <w:vAlign w:val="center"/>
          </w:tcPr>
          <w:p>
            <w:pPr>
              <w:snapToGrid w:val="0"/>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公司目标：</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产品一次交付合格率99%以上；</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顾客满意度95%以上；</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危险废弃物统一收集、统一处理率100%；</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可回收废弃物统一收集处理率100%；</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噪声达标排放：符合GB12348-2008标准中2类标准</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昼间60dB（A），夜间50dB（A）</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杜绝重伤、死亡事件；重伤、死亡事件为零</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杜绝火灾爆炸事件：火灾、爆炸事件为零</w:t>
            </w:r>
          </w:p>
          <w:p>
            <w:pPr>
              <w:snapToGrid w:val="0"/>
              <w:spacing w:line="360" w:lineRule="auto"/>
              <w:ind w:firstLine="420" w:firstLineChars="200"/>
              <w:rPr>
                <w:rFonts w:hint="eastAsia" w:ascii="Times New Roman" w:hAnsi="Times New Roman" w:cs="Times New Roman"/>
                <w:sz w:val="21"/>
                <w:szCs w:val="21"/>
              </w:rPr>
            </w:pPr>
            <w:r>
              <w:rPr>
                <w:rFonts w:hint="eastAsia" w:ascii="Times New Roman" w:hAnsi="Times New Roman" w:cs="Times New Roman"/>
                <w:sz w:val="21"/>
                <w:szCs w:val="21"/>
              </w:rPr>
              <w:t xml:space="preserve">杜绝机械伤害、触电事故：机械伤害、触电事故为零 </w:t>
            </w:r>
          </w:p>
          <w:p>
            <w:pPr>
              <w:snapToGrid w:val="0"/>
              <w:spacing w:line="360" w:lineRule="auto"/>
              <w:ind w:firstLine="420" w:firstLineChars="200"/>
              <w:rPr>
                <w:rFonts w:ascii="宋体" w:hAnsi="宋体" w:cs="宋体"/>
                <w:szCs w:val="21"/>
              </w:rPr>
            </w:pPr>
            <w:r>
              <w:rPr>
                <w:rFonts w:hint="eastAsia" w:ascii="Times New Roman" w:hAnsi="Times New Roman" w:cs="Times New Roman"/>
                <w:sz w:val="21"/>
                <w:szCs w:val="21"/>
              </w:rPr>
              <w:t>对目标进行了分解，建立了各部门的分目标，每季度末对目标进行考核，查看“2019年第4季度目标完成情况统计表”，目标已基本实现。（见各部门考</w:t>
            </w:r>
            <w:r>
              <w:rPr>
                <w:rFonts w:hint="eastAsia"/>
                <w:sz w:val="21"/>
                <w:szCs w:val="21"/>
              </w:rPr>
              <w:t>核结果）。</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spacing w:line="360" w:lineRule="auto"/>
              <w:rPr>
                <w:color w:val="auto"/>
              </w:rPr>
            </w:pPr>
            <w:r>
              <w:rPr>
                <w:rFonts w:hint="eastAsia"/>
                <w:color w:val="auto"/>
              </w:rPr>
              <w:t>变更的策划</w:t>
            </w:r>
          </w:p>
        </w:tc>
        <w:tc>
          <w:tcPr>
            <w:tcW w:w="960" w:type="dxa"/>
          </w:tcPr>
          <w:p>
            <w:pPr>
              <w:spacing w:line="360" w:lineRule="auto"/>
              <w:rPr>
                <w:color w:val="auto"/>
              </w:rPr>
            </w:pPr>
            <w:r>
              <w:rPr>
                <w:rFonts w:hint="eastAsia"/>
                <w:color w:val="auto"/>
              </w:rPr>
              <w:t>Q6.3</w:t>
            </w:r>
          </w:p>
        </w:tc>
        <w:tc>
          <w:tcPr>
            <w:tcW w:w="10004" w:type="dxa"/>
            <w:vAlign w:val="center"/>
          </w:tcPr>
          <w:p>
            <w:pPr>
              <w:spacing w:line="360" w:lineRule="auto"/>
              <w:rPr>
                <w:rFonts w:hint="eastAsia"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 xml:space="preserve"> 在《管理手册》中明确“变更的策划”的要求。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当组织确定需要对管理体系进行变更时，变更应按所策划的方式实施组织应考虑4个方面要求。</w:t>
            </w:r>
          </w:p>
          <w:p>
            <w:pPr>
              <w:spacing w:line="360" w:lineRule="auto"/>
              <w:ind w:firstLine="420" w:firstLineChars="200"/>
              <w:rPr>
                <w:rFonts w:hint="default" w:ascii="宋体" w:hAnsi="宋体" w:cs="宋体"/>
                <w:color w:val="auto"/>
                <w:szCs w:val="21"/>
                <w:lang w:val="en-US"/>
              </w:rPr>
            </w:pPr>
            <w:r>
              <w:rPr>
                <w:rFonts w:hint="eastAsia" w:ascii="宋体" w:hAnsi="宋体" w:cs="宋体"/>
                <w:color w:val="auto"/>
                <w:szCs w:val="21"/>
                <w:lang w:val="en-US" w:eastAsia="zh-CN"/>
              </w:rPr>
              <w:t>旧版的体系文件根据新版GB/T 45001-2020《职业健康安全管理体系要求及使用指南》标准，结合GB/T 19001-2016和GB/T 24001-2016标准要求变更为新版体系文件。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管理体系从</w:t>
            </w:r>
            <w:r>
              <w:rPr>
                <w:rFonts w:hint="eastAsia" w:ascii="宋体" w:hAnsi="宋体" w:cs="宋体"/>
                <w:color w:val="auto"/>
                <w:szCs w:val="21"/>
                <w:lang w:eastAsia="zh-CN"/>
              </w:rPr>
              <w:t>2020年</w:t>
            </w:r>
            <w:r>
              <w:rPr>
                <w:rFonts w:hint="eastAsia" w:ascii="宋体" w:hAnsi="宋体" w:cs="宋体"/>
                <w:color w:val="auto"/>
                <w:szCs w:val="21"/>
                <w:lang w:val="en-US" w:eastAsia="zh-CN"/>
              </w:rPr>
              <w:t>6</w:t>
            </w:r>
            <w:r>
              <w:rPr>
                <w:rFonts w:hint="eastAsia" w:ascii="宋体" w:hAnsi="宋体" w:cs="宋体"/>
                <w:color w:val="auto"/>
                <w:szCs w:val="21"/>
                <w:lang w:eastAsia="zh-CN"/>
              </w:rPr>
              <w:t>月1日</w:t>
            </w:r>
            <w:r>
              <w:rPr>
                <w:rFonts w:hint="eastAsia" w:ascii="宋体" w:hAnsi="宋体" w:cs="宋体"/>
                <w:color w:val="auto"/>
                <w:szCs w:val="21"/>
              </w:rPr>
              <w:t>实施以来无涉及变更。</w:t>
            </w:r>
          </w:p>
        </w:tc>
        <w:tc>
          <w:tcPr>
            <w:tcW w:w="1585" w:type="dxa"/>
          </w:tcPr>
          <w:p>
            <w:pPr>
              <w:spacing w:line="360" w:lineRule="auto"/>
              <w:rPr>
                <w:color w:val="auto"/>
              </w:rPr>
            </w:pPr>
            <w:r>
              <w:rPr>
                <w:rFonts w:hint="eastAsia"/>
                <w:color w:val="auto"/>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160" w:type="dxa"/>
          </w:tcPr>
          <w:p>
            <w:pPr>
              <w:spacing w:line="360" w:lineRule="auto"/>
            </w:pPr>
            <w:r>
              <w:rPr>
                <w:rFonts w:hint="eastAsia"/>
              </w:rPr>
              <w:t>资源、总则</w:t>
            </w:r>
          </w:p>
        </w:tc>
        <w:tc>
          <w:tcPr>
            <w:tcW w:w="960" w:type="dxa"/>
          </w:tcPr>
          <w:p>
            <w:pPr>
              <w:spacing w:line="360" w:lineRule="auto"/>
            </w:pPr>
            <w:r>
              <w:rPr>
                <w:rFonts w:hint="eastAsia"/>
              </w:rPr>
              <w:t>Q7.1.1</w:t>
            </w:r>
          </w:p>
          <w:p>
            <w:pPr>
              <w:spacing w:line="360" w:lineRule="auto"/>
            </w:pPr>
            <w:r>
              <w:rPr>
                <w:rFonts w:hint="eastAsia"/>
              </w:rPr>
              <w:t>E</w:t>
            </w:r>
            <w:r>
              <w:t>O</w:t>
            </w:r>
            <w:r>
              <w:rPr>
                <w:rFonts w:hint="eastAsia"/>
              </w:rPr>
              <w:t>7.1</w:t>
            </w:r>
          </w:p>
        </w:tc>
        <w:tc>
          <w:tcPr>
            <w:tcW w:w="10004" w:type="dxa"/>
            <w:vAlign w:val="center"/>
          </w:tcPr>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在《管理手册》中明确“资源/总则”的要求。</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总经理/体系负责人介绍及现场观察：</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组织能确定并提供建立、实施、保持管理体系所需的资源，包括内部资源，考虑现有内部资源的能力，将增加人员的引进和培训，提高服务能力，并适时考虑外部资源（从外部供方获得的资源）。</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覆盖产品/服务/活动及体系运行所需的资源，主要有：</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a. 人力资源：公司共有员工29人，其中管理人员5人</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b. 基础设施：主要生产设备螺杆槽数控铣床、数字车床、数控管子螺纹车床、卧室车床、摇臂钻床、牛头铇床、万能铣床、转子抛光机、喷焊机、无心磨床、珩磨床、校直机、锯床、行车、电焊机、千吨液压机、空压机等，</w:t>
            </w:r>
          </w:p>
          <w:p>
            <w:pPr>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cs="Times New Roman"/>
                <w:szCs w:val="21"/>
              </w:rPr>
              <w:t>c. 工作环境：配有厂房、仓库、办公区域等</w:t>
            </w:r>
            <w:r>
              <w:rPr>
                <w:rFonts w:hint="eastAsia" w:ascii="Times New Roman" w:hAnsi="Times New Roman" w:cs="Times New Roman"/>
                <w:szCs w:val="21"/>
                <w:lang w:eastAsia="zh-CN"/>
              </w:rPr>
              <w:t>。</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d. 资金支持：注册资金10188万元。</w:t>
            </w:r>
          </w:p>
          <w:p>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能够满足产品生产及服务需要。</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160" w:type="dxa"/>
            <w:vAlign w:val="top"/>
          </w:tcPr>
          <w:p>
            <w:pPr>
              <w:spacing w:line="360" w:lineRule="auto"/>
              <w:rPr>
                <w:rFonts w:ascii="宋体" w:hAnsi="宋体" w:cs="宋体"/>
                <w:color w:val="000000"/>
                <w:kern w:val="0"/>
                <w:szCs w:val="21"/>
              </w:rPr>
            </w:pPr>
            <w:r>
              <w:rPr>
                <w:rFonts w:hint="eastAsia" w:ascii="宋体" w:hAnsi="宋体" w:cs="宋体"/>
                <w:color w:val="000000"/>
                <w:kern w:val="0"/>
                <w:szCs w:val="21"/>
              </w:rPr>
              <w:t>意识</w:t>
            </w:r>
          </w:p>
          <w:p>
            <w:pPr>
              <w:spacing w:line="360" w:lineRule="auto"/>
              <w:rPr>
                <w:rFonts w:hint="eastAsia" w:ascii="Times New Roman" w:hAnsi="Times New Roman" w:eastAsia="宋体" w:cs="Times New Roman"/>
                <w:b/>
                <w:kern w:val="2"/>
                <w:sz w:val="21"/>
                <w:szCs w:val="21"/>
                <w:lang w:val="en-US" w:eastAsia="zh-CN" w:bidi="ar-SA"/>
              </w:rPr>
            </w:pPr>
          </w:p>
        </w:tc>
        <w:tc>
          <w:tcPr>
            <w:tcW w:w="960" w:type="dxa"/>
            <w:vAlign w:val="top"/>
          </w:tcPr>
          <w:p>
            <w:pPr>
              <w:spacing w:line="360" w:lineRule="auto"/>
              <w:rPr>
                <w:rFonts w:ascii="宋体" w:hAnsi="宋体" w:cs="宋体"/>
                <w:color w:val="000000"/>
                <w:kern w:val="0"/>
                <w:szCs w:val="21"/>
              </w:rPr>
            </w:pPr>
            <w:r>
              <w:rPr>
                <w:rFonts w:hint="eastAsia" w:ascii="宋体" w:hAnsi="宋体" w:cs="宋体"/>
                <w:color w:val="000000"/>
                <w:kern w:val="0"/>
                <w:szCs w:val="21"/>
              </w:rPr>
              <w:t>QE7.3</w:t>
            </w:r>
          </w:p>
          <w:p>
            <w:pPr>
              <w:spacing w:line="360" w:lineRule="auto"/>
              <w:rPr>
                <w:rFonts w:hint="eastAsia" w:ascii="Times New Roman" w:hAnsi="Times New Roman" w:eastAsia="宋体" w:cs="Times New Roman"/>
                <w:b/>
                <w:kern w:val="2"/>
                <w:sz w:val="21"/>
                <w:szCs w:val="21"/>
                <w:lang w:val="en-US" w:eastAsia="zh-CN" w:bidi="ar-SA"/>
              </w:rPr>
            </w:pPr>
          </w:p>
        </w:tc>
        <w:tc>
          <w:tcPr>
            <w:tcW w:w="10004" w:type="dxa"/>
            <w:vAlign w:val="center"/>
          </w:tcPr>
          <w:p>
            <w:pPr>
              <w:spacing w:line="360" w:lineRule="auto"/>
              <w:ind w:firstLine="420" w:firstLineChars="200"/>
              <w:rPr>
                <w:szCs w:val="21"/>
              </w:rPr>
            </w:pPr>
            <w:r>
              <w:rPr>
                <w:rFonts w:hint="eastAsia"/>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360" w:lineRule="auto"/>
              <w:ind w:firstLine="420" w:firstLineChars="200"/>
              <w:rPr>
                <w:rFonts w:hint="eastAsia" w:ascii="Times New Roman" w:hAnsi="Times New Roman" w:eastAsia="宋体" w:cs="Times New Roman"/>
                <w:b/>
                <w:kern w:val="2"/>
                <w:sz w:val="21"/>
                <w:szCs w:val="21"/>
                <w:lang w:val="en-US" w:eastAsia="zh-CN" w:bidi="ar-SA"/>
              </w:rPr>
            </w:pPr>
            <w:r>
              <w:rPr>
                <w:rFonts w:hint="eastAsia"/>
                <w:szCs w:val="21"/>
              </w:rPr>
              <w:t>询问</w:t>
            </w:r>
            <w:r>
              <w:rPr>
                <w:rFonts w:hint="eastAsia"/>
                <w:szCs w:val="21"/>
                <w:lang w:eastAsia="zh-CN"/>
              </w:rPr>
              <w:t>办公室</w:t>
            </w:r>
            <w:r>
              <w:rPr>
                <w:rFonts w:hint="eastAsia"/>
                <w:szCs w:val="21"/>
                <w:lang w:val="en-US" w:eastAsia="zh-CN"/>
              </w:rPr>
              <w:t>徐中连</w:t>
            </w:r>
            <w:r>
              <w:rPr>
                <w:rFonts w:hint="eastAsia"/>
                <w:szCs w:val="21"/>
              </w:rPr>
              <w:t>知道公司方针，知道所在的工作岗位的质量、环境、职业健康安全目标，也了解自己的工作好坏会影响组织资质量、环境、职业健康安全管理体系的有效运行。</w:t>
            </w:r>
          </w:p>
        </w:tc>
        <w:tc>
          <w:tcPr>
            <w:tcW w:w="1585" w:type="dxa"/>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u w:val="none"/>
              </w:rPr>
            </w:pPr>
            <w:r>
              <w:rPr>
                <w:rFonts w:hint="eastAsia"/>
                <w:u w:val="none"/>
              </w:rPr>
              <w:t>沟通</w:t>
            </w:r>
          </w:p>
          <w:p>
            <w:pPr>
              <w:spacing w:line="360" w:lineRule="auto"/>
              <w:rPr>
                <w:u w:val="none"/>
              </w:rPr>
            </w:pPr>
          </w:p>
        </w:tc>
        <w:tc>
          <w:tcPr>
            <w:tcW w:w="960" w:type="dxa"/>
          </w:tcPr>
          <w:p>
            <w:pPr>
              <w:spacing w:line="360" w:lineRule="auto"/>
              <w:rPr>
                <w:rFonts w:hint="default" w:eastAsia="宋体"/>
                <w:u w:val="none"/>
                <w:lang w:val="en-US" w:eastAsia="zh-CN"/>
              </w:rPr>
            </w:pPr>
            <w:r>
              <w:rPr>
                <w:u w:val="none"/>
              </w:rPr>
              <w:t>O</w:t>
            </w:r>
            <w:r>
              <w:rPr>
                <w:rFonts w:hint="eastAsia"/>
                <w:u w:val="none"/>
              </w:rPr>
              <w:t>7.4</w:t>
            </w:r>
            <w:r>
              <w:rPr>
                <w:rFonts w:hint="eastAsia"/>
                <w:u w:val="none"/>
                <w:lang w:val="en-US" w:eastAsia="zh-CN"/>
              </w:rPr>
              <w:t>.3</w:t>
            </w:r>
          </w:p>
        </w:tc>
        <w:tc>
          <w:tcPr>
            <w:tcW w:w="10004" w:type="dxa"/>
            <w:vAlign w:val="center"/>
          </w:tcPr>
          <w:p>
            <w:pPr>
              <w:spacing w:line="360" w:lineRule="auto"/>
              <w:ind w:firstLine="420" w:firstLineChars="200"/>
              <w:rPr>
                <w:szCs w:val="21"/>
                <w:u w:val="none"/>
              </w:rPr>
            </w:pPr>
            <w:r>
              <w:rPr>
                <w:rFonts w:hint="eastAsia"/>
                <w:szCs w:val="21"/>
                <w:u w:val="none"/>
              </w:rPr>
              <w:t>公司编制并实施了《信息交流</w:t>
            </w:r>
            <w:r>
              <w:rPr>
                <w:rFonts w:hint="eastAsia"/>
                <w:szCs w:val="21"/>
                <w:u w:val="none"/>
                <w:lang w:val="en-US" w:eastAsia="zh-CN"/>
              </w:rPr>
              <w:t>控制</w:t>
            </w:r>
            <w:r>
              <w:rPr>
                <w:rFonts w:hint="eastAsia"/>
                <w:szCs w:val="21"/>
                <w:u w:val="none"/>
              </w:rPr>
              <w:t>程序》，规定了职责、工作流程，包括内部沟通和外部沟通的方法和要求。</w:t>
            </w:r>
          </w:p>
          <w:p>
            <w:pPr>
              <w:spacing w:line="360" w:lineRule="auto"/>
              <w:ind w:firstLine="420" w:firstLineChars="200"/>
              <w:rPr>
                <w:szCs w:val="21"/>
                <w:u w:val="none"/>
              </w:rPr>
            </w:pPr>
            <w:r>
              <w:rPr>
                <w:rFonts w:hint="eastAsia"/>
                <w:szCs w:val="21"/>
                <w:u w:val="none"/>
              </w:rPr>
              <w:t>外部交流：通过发放《相关方环境及职业健康安全告知书》与相关方就相关环境、职业健康安全信息进行相互沟通。</w:t>
            </w:r>
          </w:p>
          <w:p>
            <w:pPr>
              <w:spacing w:line="360" w:lineRule="auto"/>
              <w:ind w:firstLine="420" w:firstLineChars="200"/>
              <w:rPr>
                <w:szCs w:val="21"/>
                <w:u w:val="none"/>
              </w:rPr>
            </w:pPr>
            <w:r>
              <w:rPr>
                <w:rFonts w:hint="eastAsia"/>
                <w:szCs w:val="21"/>
                <w:u w:val="none"/>
              </w:rPr>
              <w:t>审核周期内未发生因沟通不善造成的的问题。</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szCs w:val="21"/>
              </w:rPr>
            </w:pPr>
            <w:r>
              <w:rPr>
                <w:rFonts w:hint="eastAsia" w:ascii="宋体" w:hAnsi="宋体" w:cs="宋体"/>
                <w:szCs w:val="21"/>
              </w:rPr>
              <w:t>绩效 总则</w:t>
            </w:r>
          </w:p>
          <w:p>
            <w:pPr>
              <w:spacing w:line="360" w:lineRule="auto"/>
              <w:rPr>
                <w:rFonts w:ascii="宋体" w:hAnsi="宋体" w:eastAsia="宋体" w:cs="宋体"/>
                <w:kern w:val="2"/>
                <w:sz w:val="21"/>
                <w:szCs w:val="21"/>
                <w:lang w:val="en-US" w:eastAsia="zh-CN" w:bidi="ar-SA"/>
              </w:rPr>
            </w:pPr>
          </w:p>
        </w:tc>
        <w:tc>
          <w:tcPr>
            <w:tcW w:w="960" w:type="dxa"/>
            <w:vAlign w:val="top"/>
          </w:tcPr>
          <w:p>
            <w:pPr>
              <w:spacing w:line="360" w:lineRule="auto"/>
              <w:rPr>
                <w:szCs w:val="21"/>
              </w:rPr>
            </w:pPr>
            <w:r>
              <w:rPr>
                <w:rFonts w:hint="eastAsia"/>
                <w:szCs w:val="21"/>
              </w:rPr>
              <w:t>Q9.1.1</w:t>
            </w:r>
          </w:p>
          <w:p>
            <w:pPr>
              <w:spacing w:line="360" w:lineRule="auto"/>
              <w:rPr>
                <w:rFonts w:hint="eastAsia" w:ascii="宋体" w:hAnsi="宋体" w:eastAsia="宋体" w:cs="宋体"/>
                <w:color w:val="000000"/>
                <w:kern w:val="0"/>
                <w:sz w:val="21"/>
                <w:szCs w:val="21"/>
                <w:lang w:val="en-US" w:eastAsia="zh-CN" w:bidi="ar-SA"/>
              </w:rPr>
            </w:pPr>
          </w:p>
        </w:tc>
        <w:tc>
          <w:tcPr>
            <w:tcW w:w="10004" w:type="dxa"/>
            <w:vAlign w:val="center"/>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lang w:eastAsia="zh-CN"/>
              </w:rPr>
              <w:t>办公室</w:t>
            </w:r>
            <w:r>
              <w:rPr>
                <w:rFonts w:hint="eastAsia" w:ascii="宋体" w:hAnsi="宋体" w:cs="宋体"/>
                <w:szCs w:val="21"/>
              </w:rPr>
              <w:t>对管理体系的过程能力进行监视和测量，通过内审对管理体系运行的符合性和有效性进行监测，结论管理体系总体运行有效。详见审核9.2条款；通过管理评审对管理体系的充分性、有效性和适宜性作了肯定的评价。详见审核9.</w:t>
            </w:r>
            <w:r>
              <w:rPr>
                <w:rFonts w:hint="eastAsia" w:ascii="宋体" w:hAnsi="宋体" w:cs="宋体"/>
                <w:szCs w:val="21"/>
                <w:lang w:val="en-US" w:eastAsia="zh-CN"/>
              </w:rPr>
              <w:t>3</w:t>
            </w:r>
            <w:r>
              <w:rPr>
                <w:rFonts w:hint="eastAsia" w:ascii="宋体" w:hAnsi="宋体" w:cs="宋体"/>
                <w:szCs w:val="21"/>
              </w:rPr>
              <w:t>条款记录；通过目标考评，监测管理体系运行的有效性，提供了20</w:t>
            </w:r>
            <w:r>
              <w:rPr>
                <w:rFonts w:ascii="宋体" w:hAnsi="宋体" w:cs="宋体"/>
                <w:szCs w:val="21"/>
              </w:rPr>
              <w:t>20</w:t>
            </w:r>
            <w:r>
              <w:rPr>
                <w:rFonts w:hint="eastAsia" w:ascii="宋体" w:hAnsi="宋体" w:cs="宋体"/>
                <w:szCs w:val="21"/>
              </w:rPr>
              <w:t>年度的目标完成情况，公司及各部门的管理目标均能完成。</w:t>
            </w:r>
          </w:p>
        </w:tc>
        <w:tc>
          <w:tcPr>
            <w:tcW w:w="1585" w:type="dxa"/>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tcPr>
          <w:p>
            <w:pPr>
              <w:spacing w:line="360" w:lineRule="auto"/>
            </w:pPr>
            <w:r>
              <w:rPr>
                <w:rFonts w:hint="eastAsia"/>
              </w:rPr>
              <w:t>管理评审</w:t>
            </w:r>
          </w:p>
          <w:p>
            <w:pPr>
              <w:spacing w:line="360" w:lineRule="auto"/>
            </w:pPr>
          </w:p>
        </w:tc>
        <w:tc>
          <w:tcPr>
            <w:tcW w:w="960" w:type="dxa"/>
          </w:tcPr>
          <w:p>
            <w:pPr>
              <w:spacing w:line="360" w:lineRule="auto"/>
            </w:pPr>
            <w:r>
              <w:rPr>
                <w:rFonts w:hint="eastAsia"/>
              </w:rPr>
              <w:t>QE</w:t>
            </w:r>
            <w:r>
              <w:t>O</w:t>
            </w:r>
            <w:r>
              <w:rPr>
                <w:rFonts w:hint="eastAsia"/>
              </w:rPr>
              <w:t>9.3</w:t>
            </w:r>
          </w:p>
        </w:tc>
        <w:tc>
          <w:tcPr>
            <w:tcW w:w="10004" w:type="dxa"/>
            <w:vAlign w:val="center"/>
          </w:tcPr>
          <w:p>
            <w:pPr>
              <w:spacing w:line="360" w:lineRule="auto"/>
              <w:rPr>
                <w:rFonts w:hint="eastAsia"/>
                <w:sz w:val="21"/>
                <w:szCs w:val="21"/>
              </w:rPr>
            </w:pPr>
            <w:r>
              <w:rPr>
                <w:rFonts w:hint="eastAsia"/>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spacing w:line="360" w:lineRule="auto"/>
              <w:rPr>
                <w:rFonts w:hint="eastAsia"/>
                <w:sz w:val="21"/>
                <w:szCs w:val="21"/>
              </w:rPr>
            </w:pPr>
            <w:r>
              <w:rPr>
                <w:rFonts w:hint="eastAsia"/>
                <w:sz w:val="21"/>
                <w:szCs w:val="21"/>
              </w:rPr>
              <w:t>查管理评审的计划：管理评审的时间：20</w:t>
            </w:r>
            <w:r>
              <w:rPr>
                <w:rFonts w:hint="eastAsia"/>
                <w:sz w:val="21"/>
                <w:szCs w:val="21"/>
                <w:lang w:val="en-US" w:eastAsia="zh-CN"/>
              </w:rPr>
              <w:t>20</w:t>
            </w:r>
            <w:r>
              <w:rPr>
                <w:rFonts w:hint="eastAsia"/>
                <w:sz w:val="21"/>
                <w:szCs w:val="21"/>
              </w:rPr>
              <w:t>年1</w:t>
            </w:r>
            <w:r>
              <w:rPr>
                <w:rFonts w:hint="eastAsia"/>
                <w:sz w:val="21"/>
                <w:szCs w:val="21"/>
                <w:lang w:val="en-US" w:eastAsia="zh-CN"/>
              </w:rPr>
              <w:t>1</w:t>
            </w:r>
            <w:r>
              <w:rPr>
                <w:rFonts w:hint="eastAsia"/>
                <w:sz w:val="21"/>
                <w:szCs w:val="21"/>
              </w:rPr>
              <w:t>月</w:t>
            </w:r>
            <w:r>
              <w:rPr>
                <w:rFonts w:hint="eastAsia"/>
                <w:sz w:val="21"/>
                <w:szCs w:val="21"/>
                <w:lang w:val="en-US" w:eastAsia="zh-CN"/>
              </w:rPr>
              <w:t>28</w:t>
            </w:r>
            <w:r>
              <w:rPr>
                <w:rFonts w:hint="eastAsia"/>
                <w:sz w:val="21"/>
                <w:szCs w:val="21"/>
              </w:rPr>
              <w:t>日</w:t>
            </w:r>
          </w:p>
          <w:p>
            <w:pPr>
              <w:spacing w:line="360" w:lineRule="auto"/>
              <w:rPr>
                <w:rFonts w:hint="eastAsia"/>
                <w:sz w:val="21"/>
                <w:szCs w:val="21"/>
              </w:rPr>
            </w:pPr>
            <w:r>
              <w:rPr>
                <w:rFonts w:hint="eastAsia"/>
                <w:sz w:val="21"/>
                <w:szCs w:val="21"/>
              </w:rPr>
              <w:t xml:space="preserve">主持人：总经理    参加人：领导层、各部门负责人 </w:t>
            </w:r>
          </w:p>
          <w:p>
            <w:pPr>
              <w:spacing w:line="360" w:lineRule="auto"/>
              <w:rPr>
                <w:rFonts w:hint="eastAsia"/>
                <w:sz w:val="21"/>
                <w:szCs w:val="21"/>
              </w:rPr>
            </w:pPr>
            <w:r>
              <w:rPr>
                <w:rFonts w:hint="eastAsia"/>
                <w:sz w:val="21"/>
                <w:szCs w:val="21"/>
              </w:rPr>
              <w:t>要求每个部门需提交的管理评审输入内容包含了标准条款的要求。时间安排符合程序文件的要求。</w:t>
            </w:r>
          </w:p>
          <w:p>
            <w:pPr>
              <w:spacing w:line="360" w:lineRule="auto"/>
              <w:rPr>
                <w:rFonts w:hint="default" w:eastAsia="黑体"/>
                <w:sz w:val="21"/>
                <w:szCs w:val="21"/>
                <w:lang w:val="en-US" w:eastAsia="zh-CN"/>
              </w:rPr>
            </w:pPr>
            <w:r>
              <w:rPr>
                <w:rFonts w:hint="eastAsia"/>
                <w:sz w:val="21"/>
                <w:szCs w:val="21"/>
              </w:rPr>
              <w:t>编制：刘敬钦      批准：王传荣  日期：20</w:t>
            </w:r>
            <w:r>
              <w:rPr>
                <w:rFonts w:hint="eastAsia"/>
                <w:sz w:val="21"/>
                <w:szCs w:val="21"/>
                <w:lang w:val="en-US" w:eastAsia="zh-CN"/>
              </w:rPr>
              <w:t>20</w:t>
            </w:r>
            <w:r>
              <w:rPr>
                <w:rFonts w:hint="eastAsia"/>
                <w:sz w:val="21"/>
                <w:szCs w:val="21"/>
              </w:rPr>
              <w:t>年1</w:t>
            </w:r>
            <w:r>
              <w:rPr>
                <w:rFonts w:hint="eastAsia"/>
                <w:sz w:val="21"/>
                <w:szCs w:val="21"/>
                <w:lang w:val="en-US" w:eastAsia="zh-CN"/>
              </w:rPr>
              <w:t>1</w:t>
            </w:r>
            <w:r>
              <w:rPr>
                <w:rFonts w:hint="eastAsia"/>
                <w:sz w:val="21"/>
                <w:szCs w:val="21"/>
              </w:rPr>
              <w:t>月</w:t>
            </w:r>
            <w:r>
              <w:rPr>
                <w:rFonts w:hint="eastAsia"/>
                <w:sz w:val="21"/>
                <w:szCs w:val="21"/>
                <w:lang w:val="en-US" w:eastAsia="zh-CN"/>
              </w:rPr>
              <w:t>28</w:t>
            </w:r>
            <w:r>
              <w:rPr>
                <w:rFonts w:hint="eastAsia"/>
                <w:sz w:val="21"/>
                <w:szCs w:val="21"/>
              </w:rPr>
              <w:t>日</w:t>
            </w:r>
          </w:p>
          <w:p>
            <w:pPr>
              <w:spacing w:line="360" w:lineRule="auto"/>
              <w:rPr>
                <w:rFonts w:hint="eastAsia"/>
                <w:sz w:val="21"/>
                <w:szCs w:val="21"/>
              </w:rPr>
            </w:pPr>
            <w:r>
              <w:rPr>
                <w:rFonts w:hint="eastAsia"/>
                <w:sz w:val="21"/>
                <w:szCs w:val="21"/>
              </w:rPr>
              <w:t>查看管理评审输入的资料：</w:t>
            </w:r>
          </w:p>
          <w:p>
            <w:pPr>
              <w:spacing w:line="360" w:lineRule="auto"/>
              <w:rPr>
                <w:rFonts w:hint="eastAsia"/>
                <w:sz w:val="21"/>
                <w:szCs w:val="21"/>
              </w:rPr>
            </w:pPr>
            <w:r>
              <w:rPr>
                <w:rFonts w:hint="eastAsia"/>
                <w:sz w:val="21"/>
                <w:szCs w:val="21"/>
              </w:rPr>
              <w:t>a.内审、以往审核结果以及合规性评价的结果；</w:t>
            </w:r>
          </w:p>
          <w:p>
            <w:pPr>
              <w:spacing w:line="360" w:lineRule="auto"/>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spacing w:line="360" w:lineRule="auto"/>
              <w:rPr>
                <w:rFonts w:hint="eastAsia"/>
                <w:sz w:val="21"/>
                <w:szCs w:val="21"/>
              </w:rPr>
            </w:pPr>
            <w:r>
              <w:rPr>
                <w:rFonts w:hint="eastAsia"/>
                <w:sz w:val="21"/>
                <w:szCs w:val="21"/>
              </w:rPr>
              <w:t>c.重大质量、环境、安全事故的处理，过程及产品质量趋势；</w:t>
            </w:r>
          </w:p>
          <w:p>
            <w:pPr>
              <w:spacing w:line="360" w:lineRule="auto"/>
              <w:rPr>
                <w:rFonts w:hint="eastAsia"/>
                <w:sz w:val="21"/>
                <w:szCs w:val="21"/>
              </w:rPr>
            </w:pPr>
            <w:r>
              <w:rPr>
                <w:rFonts w:hint="eastAsia"/>
                <w:sz w:val="21"/>
                <w:szCs w:val="21"/>
              </w:rPr>
              <w:t>d.管理体系运行状况，包括管理方针和目标以及实现程度。</w:t>
            </w:r>
          </w:p>
          <w:p>
            <w:pPr>
              <w:spacing w:line="360" w:lineRule="auto"/>
              <w:rPr>
                <w:rFonts w:hint="eastAsia"/>
                <w:sz w:val="21"/>
                <w:szCs w:val="21"/>
              </w:rPr>
            </w:pPr>
            <w:r>
              <w:rPr>
                <w:rFonts w:hint="eastAsia"/>
                <w:sz w:val="21"/>
                <w:szCs w:val="21"/>
              </w:rPr>
              <w:t>e.环境职业健康方便管理体系运行绩效。</w:t>
            </w:r>
          </w:p>
          <w:p>
            <w:pPr>
              <w:spacing w:line="360" w:lineRule="auto"/>
              <w:rPr>
                <w:rFonts w:hint="eastAsia"/>
                <w:sz w:val="21"/>
                <w:szCs w:val="21"/>
              </w:rPr>
            </w:pPr>
            <w:r>
              <w:rPr>
                <w:rFonts w:hint="eastAsia"/>
                <w:sz w:val="21"/>
                <w:szCs w:val="21"/>
              </w:rPr>
              <w:t>f.纠正预防和改进措施的实施情况。</w:t>
            </w:r>
          </w:p>
          <w:p>
            <w:pPr>
              <w:spacing w:line="360" w:lineRule="auto"/>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spacing w:line="360" w:lineRule="auto"/>
              <w:rPr>
                <w:rFonts w:hint="eastAsia"/>
                <w:sz w:val="21"/>
                <w:szCs w:val="21"/>
              </w:rPr>
            </w:pPr>
            <w:r>
              <w:rPr>
                <w:rFonts w:hint="eastAsia"/>
                <w:sz w:val="21"/>
                <w:szCs w:val="21"/>
              </w:rPr>
              <w:t>h.员工的合理化改进建议。输入内容基本符合标准要求。</w:t>
            </w:r>
          </w:p>
          <w:p>
            <w:pPr>
              <w:spacing w:line="360" w:lineRule="auto"/>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line="360" w:lineRule="auto"/>
              <w:rPr>
                <w:rFonts w:hint="default" w:eastAsia="黑体"/>
                <w:color w:val="0000FF"/>
                <w:sz w:val="21"/>
                <w:szCs w:val="21"/>
                <w:lang w:val="en-US" w:eastAsia="zh-CN"/>
              </w:rPr>
            </w:pPr>
            <w:r>
              <w:rPr>
                <w:rFonts w:hint="eastAsia"/>
                <w:color w:val="auto"/>
                <w:sz w:val="21"/>
                <w:szCs w:val="21"/>
                <w:lang w:val="en-US" w:eastAsia="zh-CN"/>
              </w:rPr>
              <w:t>对上一年度内审、管评及外审提出问题的整改情况进行了验证，未发现类似问题，采取的纠正措施有效。</w:t>
            </w:r>
          </w:p>
          <w:p>
            <w:pPr>
              <w:spacing w:line="360" w:lineRule="auto"/>
              <w:rPr>
                <w:rFonts w:hint="default" w:eastAsia="宋体"/>
                <w:sz w:val="21"/>
                <w:szCs w:val="21"/>
                <w:lang w:val="en-US" w:eastAsia="zh-CN"/>
              </w:rPr>
            </w:pPr>
            <w:r>
              <w:rPr>
                <w:rFonts w:hint="eastAsia"/>
                <w:sz w:val="21"/>
                <w:szCs w:val="21"/>
              </w:rPr>
              <w:t>查看管理评审报告，批准：王传荣 2019.1</w:t>
            </w:r>
            <w:r>
              <w:rPr>
                <w:rFonts w:hint="eastAsia"/>
                <w:sz w:val="21"/>
                <w:szCs w:val="21"/>
                <w:lang w:val="en-US" w:eastAsia="zh-CN"/>
              </w:rPr>
              <w:t>1</w:t>
            </w:r>
            <w:r>
              <w:rPr>
                <w:rFonts w:hint="eastAsia"/>
                <w:sz w:val="21"/>
                <w:szCs w:val="21"/>
              </w:rPr>
              <w:t>.</w:t>
            </w:r>
            <w:r>
              <w:rPr>
                <w:rFonts w:hint="eastAsia"/>
                <w:sz w:val="21"/>
                <w:szCs w:val="21"/>
                <w:lang w:val="en-US" w:eastAsia="zh-CN"/>
              </w:rPr>
              <w:t>28</w:t>
            </w:r>
          </w:p>
          <w:p>
            <w:pPr>
              <w:spacing w:line="360" w:lineRule="auto"/>
              <w:rPr>
                <w:rFonts w:hint="eastAsia" w:ascii="Times New Roman" w:hAnsi="Times New Roman" w:cs="Times New Roman"/>
                <w:sz w:val="21"/>
                <w:szCs w:val="21"/>
              </w:rPr>
            </w:pPr>
            <w:r>
              <w:rPr>
                <w:rFonts w:hint="eastAsia"/>
                <w:sz w:val="21"/>
                <w:szCs w:val="21"/>
              </w:rPr>
              <w:t>结论：公司管理体系符合标准要求，具有较好的充分性、适宜性和有效性，能较好的适应实现管理方针和管理目标的需要。</w:t>
            </w:r>
          </w:p>
          <w:p>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持续改进：</w:t>
            </w:r>
          </w:p>
          <w:p>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1) 对相关方施加影响,积极向供方、顾客宣传我公司的QES方针目标。</w:t>
            </w:r>
          </w:p>
          <w:p>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2) 与供方以环境/健康安全保护协议的形式影响供方。</w:t>
            </w:r>
          </w:p>
          <w:p>
            <w:pPr>
              <w:spacing w:line="360" w:lineRule="auto"/>
              <w:rPr>
                <w:rFonts w:ascii="宋体" w:hAnsi="宋体" w:cs="宋体"/>
                <w:szCs w:val="21"/>
              </w:rPr>
            </w:pPr>
            <w:r>
              <w:rPr>
                <w:rFonts w:hint="eastAsia" w:ascii="Times New Roman" w:hAnsi="Times New Roman" w:cs="Times New Roman"/>
                <w:sz w:val="21"/>
                <w:szCs w:val="21"/>
              </w:rPr>
              <w:t>3）为了QES管理体系的有效运行，决定加强员工在质量、环境、职业健康安全意识方面的培训。</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u w:val="none"/>
              </w:rPr>
            </w:pPr>
            <w:r>
              <w:rPr>
                <w:rFonts w:hint="eastAsia"/>
                <w:u w:val="none"/>
              </w:rPr>
              <w:t>总则</w:t>
            </w:r>
          </w:p>
        </w:tc>
        <w:tc>
          <w:tcPr>
            <w:tcW w:w="960" w:type="dxa"/>
          </w:tcPr>
          <w:p>
            <w:pPr>
              <w:spacing w:line="360" w:lineRule="auto"/>
              <w:rPr>
                <w:u w:val="none"/>
              </w:rPr>
            </w:pPr>
            <w:r>
              <w:rPr>
                <w:rFonts w:hint="eastAsia"/>
                <w:u w:val="none"/>
              </w:rPr>
              <w:t>QE</w:t>
            </w:r>
            <w:r>
              <w:rPr>
                <w:u w:val="none"/>
              </w:rPr>
              <w:t>O</w:t>
            </w:r>
            <w:r>
              <w:rPr>
                <w:rFonts w:hint="eastAsia"/>
                <w:u w:val="none"/>
              </w:rPr>
              <w:t xml:space="preserve"> 10.1</w:t>
            </w:r>
          </w:p>
        </w:tc>
        <w:tc>
          <w:tcPr>
            <w:tcW w:w="10004" w:type="dxa"/>
          </w:tcPr>
          <w:p>
            <w:pPr>
              <w:spacing w:line="360" w:lineRule="auto"/>
              <w:ind w:firstLine="420" w:firstLineChars="200"/>
              <w:rPr>
                <w:rFonts w:ascii="宋体" w:hAnsi="宋体" w:cs="宋体"/>
                <w:szCs w:val="21"/>
                <w:u w:val="none"/>
              </w:rPr>
            </w:pPr>
            <w:r>
              <w:rPr>
                <w:rFonts w:hint="eastAsia" w:ascii="宋体" w:hAnsi="宋体" w:cs="宋体"/>
                <w:szCs w:val="21"/>
                <w:u w:val="none"/>
                <w:lang w:eastAsia="zh-CN"/>
              </w:rPr>
              <w:t>办公室</w:t>
            </w:r>
            <w:r>
              <w:rPr>
                <w:rFonts w:hint="eastAsia" w:ascii="宋体" w:hAnsi="宋体" w:cs="宋体"/>
                <w:szCs w:val="21"/>
                <w:u w:val="none"/>
              </w:rPr>
              <w:t xml:space="preserve">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360" w:lineRule="auto"/>
              <w:rPr>
                <w:rFonts w:ascii="宋体" w:hAnsi="宋体" w:cs="宋体"/>
                <w:szCs w:val="21"/>
                <w:u w:val="none"/>
              </w:rPr>
            </w:pPr>
            <w:r>
              <w:rPr>
                <w:rFonts w:hint="eastAsia" w:ascii="宋体" w:hAnsi="宋体" w:cs="宋体"/>
                <w:szCs w:val="21"/>
                <w:u w:val="none"/>
              </w:rPr>
              <w:t xml:space="preserve"> ——具体事实可见审核10.2条款记录。</w:t>
            </w:r>
          </w:p>
        </w:tc>
        <w:tc>
          <w:tcPr>
            <w:tcW w:w="1585" w:type="dxa"/>
          </w:tcPr>
          <w:p>
            <w:pPr>
              <w:spacing w:line="360" w:lineRule="auto"/>
              <w:rPr>
                <w:u w:val="none"/>
              </w:rPr>
            </w:pPr>
            <w:r>
              <w:rPr>
                <w:rFonts w:hint="eastAsia"/>
                <w:u w:val="none"/>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rPr>
              <w:t>持续改进</w:t>
            </w:r>
          </w:p>
        </w:tc>
        <w:tc>
          <w:tcPr>
            <w:tcW w:w="960" w:type="dxa"/>
          </w:tcPr>
          <w:p>
            <w:pPr>
              <w:spacing w:line="360" w:lineRule="auto"/>
            </w:pPr>
            <w:r>
              <w:rPr>
                <w:rFonts w:hint="eastAsia"/>
              </w:rPr>
              <w:t>QE</w:t>
            </w:r>
            <w:r>
              <w:t>O</w:t>
            </w:r>
            <w:r>
              <w:rPr>
                <w:rFonts w:hint="eastAsia"/>
              </w:rPr>
              <w:t xml:space="preserve"> 10.3</w:t>
            </w:r>
          </w:p>
        </w:tc>
        <w:tc>
          <w:tcPr>
            <w:tcW w:w="10004" w:type="dxa"/>
            <w:vAlign w:val="center"/>
          </w:tcPr>
          <w:p>
            <w:pPr>
              <w:spacing w:line="360" w:lineRule="auto"/>
              <w:rPr>
                <w:rFonts w:ascii="宋体" w:hAnsi="宋体" w:cs="宋体"/>
                <w:szCs w:val="21"/>
              </w:rPr>
            </w:pPr>
            <w:r>
              <w:rPr>
                <w:rFonts w:hint="eastAsia" w:ascii="宋体" w:hAnsi="宋体" w:cs="宋体"/>
                <w:szCs w:val="21"/>
              </w:rPr>
              <w:t xml:space="preserve">    在《管理手册》中明确“持续改进”的要求，并编制《改进管理程序》。</w:t>
            </w:r>
          </w:p>
          <w:p>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据体系负责人介绍：总经理负责识别组织变更、风险变更并作改进，检验部及各部门配合负责数据分析，并利用分析结果改进管理体系。</w:t>
            </w:r>
          </w:p>
          <w:p>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总经理及体系负责人介绍：组织确定并选择了改进机会，包括：改进服务以满足要求并关注未来的需求和期望、纠正、预防或减少不利影响、改进管理体系的绩效和有效性，并采取必要措施，以满足顾客要求和增强顾客满意要求，满足环境和职业健康安全法律法规，提升环境和职业健康安全绩效等方面。</w:t>
            </w:r>
          </w:p>
          <w:p>
            <w:pPr>
              <w:autoSpaceDE w:val="0"/>
              <w:autoSpaceDN w:val="0"/>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在持续改进方面，制定了《不合格控制程序》、《纠正措施控制程序》、《</w:t>
            </w:r>
            <w:r>
              <w:rPr>
                <w:rFonts w:hint="eastAsia" w:ascii="宋体" w:hAnsi="宋体" w:cs="宋体"/>
                <w:szCs w:val="21"/>
                <w:lang w:val="en-US" w:eastAsia="zh-CN"/>
              </w:rPr>
              <w:t>风险和机遇的应对措施</w:t>
            </w:r>
            <w:r>
              <w:rPr>
                <w:rFonts w:hint="eastAsia" w:ascii="宋体" w:hAnsi="宋体" w:cs="宋体"/>
                <w:szCs w:val="21"/>
              </w:rPr>
              <w:t>控制程序》等相关文件化信息要求</w:t>
            </w:r>
            <w:r>
              <w:rPr>
                <w:rFonts w:hint="eastAsia" w:ascii="宋体" w:hAnsi="宋体" w:cs="宋体"/>
                <w:szCs w:val="21"/>
                <w:lang w:val="en-US" w:eastAsia="zh-CN"/>
              </w:rPr>
              <w:t>.</w:t>
            </w:r>
          </w:p>
          <w:p>
            <w:pPr>
              <w:spacing w:line="360" w:lineRule="auto"/>
              <w:rPr>
                <w:rFonts w:ascii="宋体" w:hAnsi="宋体" w:cs="宋体"/>
                <w:szCs w:val="21"/>
              </w:rPr>
            </w:pPr>
            <w:r>
              <w:rPr>
                <w:rFonts w:hint="eastAsia" w:ascii="宋体" w:hAnsi="宋体" w:cs="宋体"/>
                <w:szCs w:val="21"/>
              </w:rPr>
              <w:t>并考虑了分析、评价结果，确定是否存在应关注的持续改进的需求和机遇，公司利用管理方针、目标、内审和外审、数据分析、纠正和预防措施以及管理评审，识别任何改进的机会，持续改进管理体系的适宜性、充分性和有效性。详见相关条款审核记录。</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仿宋_GB2312" w:hAnsi="仿宋" w:eastAsia="仿宋_GB2312" w:cs="宋体"/>
                <w:sz w:val="24"/>
                <w:szCs w:val="24"/>
              </w:rPr>
            </w:pPr>
            <w:r>
              <w:rPr>
                <w:rFonts w:hint="eastAsia"/>
                <w:color w:val="000000"/>
                <w:szCs w:val="21"/>
              </w:rPr>
              <w:t>国家/地方监督抽查情况</w:t>
            </w:r>
          </w:p>
        </w:tc>
        <w:tc>
          <w:tcPr>
            <w:tcW w:w="960" w:type="dxa"/>
          </w:tcPr>
          <w:p>
            <w:pPr>
              <w:spacing w:line="360" w:lineRule="auto"/>
              <w:rPr>
                <w:rFonts w:ascii="仿宋_GB2312" w:hAnsi="仿宋" w:eastAsia="仿宋_GB2312" w:cs="宋体"/>
                <w:sz w:val="24"/>
                <w:szCs w:val="24"/>
              </w:rPr>
            </w:pPr>
          </w:p>
        </w:tc>
        <w:tc>
          <w:tcPr>
            <w:tcW w:w="10004" w:type="dxa"/>
          </w:tcPr>
          <w:p>
            <w:pPr>
              <w:spacing w:line="360" w:lineRule="auto"/>
              <w:rPr>
                <w:rFonts w:ascii="宋体" w:hAnsi="宋体" w:cs="宋体"/>
                <w:szCs w:val="21"/>
              </w:rPr>
            </w:pPr>
            <w:r>
              <w:rPr>
                <w:rFonts w:hint="eastAsia" w:ascii="宋体" w:hAnsi="宋体" w:cs="宋体"/>
                <w:szCs w:val="21"/>
              </w:rPr>
              <w:t>无监督抽查。</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spacing w:line="360" w:lineRule="auto"/>
              <w:rPr>
                <w:rFonts w:ascii="仿宋_GB2312" w:hAnsi="仿宋" w:eastAsia="仿宋_GB2312" w:cs="宋体"/>
                <w:sz w:val="24"/>
                <w:szCs w:val="24"/>
              </w:rPr>
            </w:pPr>
            <w:r>
              <w:rPr>
                <w:rFonts w:hint="eastAsia"/>
                <w:color w:val="000000"/>
                <w:szCs w:val="21"/>
              </w:rPr>
              <w:t>顾客满意、相关方投诉及处理情况</w:t>
            </w:r>
          </w:p>
        </w:tc>
        <w:tc>
          <w:tcPr>
            <w:tcW w:w="960" w:type="dxa"/>
          </w:tcPr>
          <w:p>
            <w:pPr>
              <w:spacing w:line="360" w:lineRule="auto"/>
              <w:rPr>
                <w:rFonts w:ascii="仿宋_GB2312" w:hAnsi="仿宋" w:eastAsia="仿宋_GB2312" w:cs="宋体"/>
                <w:sz w:val="24"/>
                <w:szCs w:val="24"/>
              </w:rPr>
            </w:pPr>
          </w:p>
        </w:tc>
        <w:tc>
          <w:tcPr>
            <w:tcW w:w="10004" w:type="dxa"/>
          </w:tcPr>
          <w:p>
            <w:pPr>
              <w:spacing w:line="360" w:lineRule="auto"/>
              <w:rPr>
                <w:rFonts w:ascii="宋体" w:hAnsi="宋体" w:cs="宋体"/>
                <w:szCs w:val="21"/>
              </w:rPr>
            </w:pPr>
            <w:r>
              <w:rPr>
                <w:rFonts w:hint="eastAsia" w:ascii="宋体" w:hAnsi="宋体" w:cs="宋体"/>
                <w:szCs w:val="21"/>
              </w:rPr>
              <w:t>未收到顾客大投诉；电话顾客电话及时处理；</w:t>
            </w:r>
          </w:p>
          <w:p>
            <w:pPr>
              <w:spacing w:line="360" w:lineRule="auto"/>
              <w:rPr>
                <w:rFonts w:ascii="宋体" w:hAnsi="宋体" w:cs="宋体"/>
                <w:szCs w:val="21"/>
              </w:rPr>
            </w:pPr>
            <w:r>
              <w:rPr>
                <w:rFonts w:hint="eastAsia" w:ascii="宋体" w:hAnsi="宋体" w:cs="宋体"/>
                <w:szCs w:val="21"/>
              </w:rPr>
              <w:t>未有产品召回情况。</w:t>
            </w:r>
          </w:p>
        </w:tc>
        <w:tc>
          <w:tcPr>
            <w:tcW w:w="1585" w:type="dxa"/>
          </w:tcPr>
          <w:p>
            <w:pPr>
              <w:spacing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spacing w:line="360" w:lineRule="auto"/>
              <w:rPr>
                <w:rFonts w:hint="default" w:eastAsia="宋体"/>
                <w:color w:val="000000"/>
                <w:szCs w:val="21"/>
                <w:lang w:val="en-US" w:eastAsia="zh-CN"/>
              </w:rPr>
            </w:pPr>
            <w:r>
              <w:rPr>
                <w:rFonts w:hint="eastAsia"/>
                <w:color w:val="000000"/>
                <w:szCs w:val="21"/>
                <w:lang w:val="en-US" w:eastAsia="zh-CN"/>
              </w:rPr>
              <w:t>收集环境安全方面手法证明情况</w:t>
            </w:r>
          </w:p>
        </w:tc>
        <w:tc>
          <w:tcPr>
            <w:tcW w:w="960" w:type="dxa"/>
          </w:tcPr>
          <w:p>
            <w:pPr>
              <w:spacing w:line="360" w:lineRule="auto"/>
              <w:rPr>
                <w:rFonts w:hint="eastAsia" w:ascii="宋体" w:hAnsi="宋体" w:cs="宋体"/>
                <w:szCs w:val="21"/>
              </w:rPr>
            </w:pPr>
          </w:p>
        </w:tc>
        <w:tc>
          <w:tcPr>
            <w:tcW w:w="10004" w:type="dxa"/>
          </w:tcPr>
          <w:p>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）提供了2018.12.7盐评审【2018】表123盐城华远石油机械有限公司年生产抽油泵 5000台项目建设项目环境影响报告表的批复。</w:t>
            </w:r>
          </w:p>
          <w:p>
            <w:pPr>
              <w:spacing w:line="360" w:lineRule="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）提供了20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日江苏天宇检测技术有限公司天宇（环委）检字第（</w:t>
            </w:r>
            <w:r>
              <w:rPr>
                <w:rFonts w:hint="eastAsia" w:ascii="宋体" w:hAnsi="宋体" w:cs="宋体"/>
                <w:szCs w:val="21"/>
                <w:lang w:val="en-US" w:eastAsia="zh-CN"/>
              </w:rPr>
              <w:t>2101036</w:t>
            </w:r>
            <w:r>
              <w:rPr>
                <w:rFonts w:hint="eastAsia" w:ascii="宋体" w:hAnsi="宋体" w:cs="宋体"/>
                <w:szCs w:val="21"/>
              </w:rPr>
              <w:t>）号无组织废气、噪声检测报告。见附</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）提供了2018年9.13日盐城市防雷设施检测有限公司防雷静电装置检测报告，报告编号∶YCFLBG（2018）第 280号。报告有效期2019年9月 12 日</w:t>
            </w:r>
            <w:r>
              <w:rPr>
                <w:rFonts w:hint="eastAsia" w:ascii="宋体" w:hAnsi="宋体" w:cs="宋体"/>
                <w:szCs w:val="21"/>
                <w:lang w:val="en-US" w:eastAsia="zh-CN"/>
              </w:rPr>
              <w:t>.</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cs="宋体"/>
                <w:color w:val="auto"/>
                <w:szCs w:val="21"/>
              </w:rPr>
              <w:t>提供了2018.</w:t>
            </w:r>
            <w:r>
              <w:rPr>
                <w:rFonts w:hint="eastAsia" w:ascii="宋体" w:hAnsi="宋体" w:cs="宋体"/>
                <w:color w:val="auto"/>
                <w:szCs w:val="21"/>
                <w:lang w:val="en-US" w:eastAsia="zh-CN"/>
              </w:rPr>
              <w:t>9月份编制的《建设项目环境影响报告表》，项目名称：螺杆钻具、抽油泵项目扩能。以及2018年12月19日盐城市盐都区环保局的批复。</w:t>
            </w: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bookmarkStart w:id="0" w:name="_GoBack"/>
            <w:r>
              <w:rPr>
                <w:rFonts w:hint="eastAsia" w:ascii="宋体" w:hAnsi="宋体" w:cs="宋体"/>
                <w:color w:val="auto"/>
                <w:szCs w:val="21"/>
                <w:lang w:val="en-US" w:eastAsia="zh-CN"/>
              </w:rPr>
              <w:drawing>
                <wp:anchor distT="0" distB="0" distL="114300" distR="114300" simplePos="0" relativeHeight="251658240" behindDoc="0" locked="0" layoutInCell="1" allowOverlap="1">
                  <wp:simplePos x="0" y="0"/>
                  <wp:positionH relativeFrom="column">
                    <wp:posOffset>1701800</wp:posOffset>
                  </wp:positionH>
                  <wp:positionV relativeFrom="paragraph">
                    <wp:posOffset>-10160</wp:posOffset>
                  </wp:positionV>
                  <wp:extent cx="2059940" cy="3097530"/>
                  <wp:effectExtent l="0" t="0" r="10160" b="1270"/>
                  <wp:wrapNone/>
                  <wp:docPr id="1" name="图片 1" descr="57f996c58ddf1883d768b8eb6bb06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f996c58ddf1883d768b8eb6bb06c3"/>
                          <pic:cNvPicPr>
                            <a:picLocks noChangeAspect="1"/>
                          </pic:cNvPicPr>
                        </pic:nvPicPr>
                        <pic:blipFill>
                          <a:blip r:embed="rId6"/>
                          <a:stretch>
                            <a:fillRect/>
                          </a:stretch>
                        </pic:blipFill>
                        <pic:spPr>
                          <a:xfrm>
                            <a:off x="0" y="0"/>
                            <a:ext cx="2059940" cy="3097530"/>
                          </a:xfrm>
                          <a:prstGeom prst="rect">
                            <a:avLst/>
                          </a:prstGeom>
                        </pic:spPr>
                      </pic:pic>
                    </a:graphicData>
                  </a:graphic>
                </wp:anchor>
              </w:drawing>
            </w:r>
            <w:bookmarkEnd w:id="0"/>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eastAsia" w:ascii="宋体" w:hAnsi="宋体" w:cs="宋体"/>
                <w:color w:val="auto"/>
                <w:szCs w:val="21"/>
                <w:lang w:val="en-US" w:eastAsia="zh-CN"/>
              </w:rPr>
            </w:pPr>
          </w:p>
          <w:p>
            <w:pPr>
              <w:pStyle w:val="2"/>
              <w:rPr>
                <w:rFonts w:hint="default" w:ascii="宋体" w:hAnsi="宋体" w:cs="宋体"/>
                <w:color w:val="auto"/>
                <w:szCs w:val="21"/>
                <w:lang w:val="en-US" w:eastAsia="zh-CN"/>
              </w:rPr>
            </w:pPr>
          </w:p>
          <w:p>
            <w:pPr>
              <w:spacing w:line="360" w:lineRule="auto"/>
              <w:rPr>
                <w:rFonts w:hint="eastAsia" w:ascii="宋体" w:hAnsi="宋体" w:cs="宋体"/>
                <w:szCs w:val="21"/>
              </w:rPr>
            </w:pPr>
          </w:p>
        </w:tc>
        <w:tc>
          <w:tcPr>
            <w:tcW w:w="1585" w:type="dxa"/>
          </w:tcPr>
          <w:p>
            <w:pPr>
              <w:spacing w:line="360"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709" w:type="dxa"/>
            <w:gridSpan w:val="4"/>
          </w:tcPr>
          <w:p>
            <w:pPr>
              <w:spacing w:line="360" w:lineRule="auto"/>
            </w:pPr>
            <w:r>
              <w:rPr>
                <w:rFonts w:hint="eastAsia"/>
                <w:lang w:val="en-US" w:eastAsia="zh-CN"/>
              </w:rPr>
              <w:t>备注：</w:t>
            </w: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B2E80"/>
    <w:multiLevelType w:val="multilevel"/>
    <w:tmpl w:val="226B2E80"/>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B7900"/>
    <w:rsid w:val="000F7902"/>
    <w:rsid w:val="0011067E"/>
    <w:rsid w:val="00127F7B"/>
    <w:rsid w:val="001532AC"/>
    <w:rsid w:val="001809F6"/>
    <w:rsid w:val="00181EB1"/>
    <w:rsid w:val="00183A7A"/>
    <w:rsid w:val="001A69D6"/>
    <w:rsid w:val="002033D2"/>
    <w:rsid w:val="002139C8"/>
    <w:rsid w:val="0022273D"/>
    <w:rsid w:val="00275B91"/>
    <w:rsid w:val="003010DA"/>
    <w:rsid w:val="00357FBC"/>
    <w:rsid w:val="00393A52"/>
    <w:rsid w:val="003B7004"/>
    <w:rsid w:val="004078AB"/>
    <w:rsid w:val="00477697"/>
    <w:rsid w:val="00480008"/>
    <w:rsid w:val="00480286"/>
    <w:rsid w:val="004B16A6"/>
    <w:rsid w:val="00586AC9"/>
    <w:rsid w:val="00593385"/>
    <w:rsid w:val="005B321D"/>
    <w:rsid w:val="005F00FB"/>
    <w:rsid w:val="00621EDF"/>
    <w:rsid w:val="0069333A"/>
    <w:rsid w:val="006D6AFE"/>
    <w:rsid w:val="007A04D1"/>
    <w:rsid w:val="007C65D6"/>
    <w:rsid w:val="00883226"/>
    <w:rsid w:val="008C7B11"/>
    <w:rsid w:val="009221D5"/>
    <w:rsid w:val="00951F9E"/>
    <w:rsid w:val="00954EA8"/>
    <w:rsid w:val="009C3AF7"/>
    <w:rsid w:val="00A07938"/>
    <w:rsid w:val="00A42243"/>
    <w:rsid w:val="00AB02D4"/>
    <w:rsid w:val="00B0299C"/>
    <w:rsid w:val="00B36031"/>
    <w:rsid w:val="00B67994"/>
    <w:rsid w:val="00BB6546"/>
    <w:rsid w:val="00CD400A"/>
    <w:rsid w:val="00CD6BA8"/>
    <w:rsid w:val="00D564AF"/>
    <w:rsid w:val="00D56FEB"/>
    <w:rsid w:val="00D774A9"/>
    <w:rsid w:val="00DD4B80"/>
    <w:rsid w:val="00E61681"/>
    <w:rsid w:val="00E77027"/>
    <w:rsid w:val="00EF3EBB"/>
    <w:rsid w:val="00F52349"/>
    <w:rsid w:val="00F804BA"/>
    <w:rsid w:val="03EC1C74"/>
    <w:rsid w:val="04F747EF"/>
    <w:rsid w:val="053E259F"/>
    <w:rsid w:val="059B5795"/>
    <w:rsid w:val="07713FF2"/>
    <w:rsid w:val="07F72633"/>
    <w:rsid w:val="0859445B"/>
    <w:rsid w:val="087E2C00"/>
    <w:rsid w:val="08C203BA"/>
    <w:rsid w:val="0C1079E4"/>
    <w:rsid w:val="0D490622"/>
    <w:rsid w:val="0E523E2A"/>
    <w:rsid w:val="0FCC2040"/>
    <w:rsid w:val="10363DE7"/>
    <w:rsid w:val="10670D7E"/>
    <w:rsid w:val="10B22BD6"/>
    <w:rsid w:val="10CE258C"/>
    <w:rsid w:val="1167590B"/>
    <w:rsid w:val="11A61089"/>
    <w:rsid w:val="141005E1"/>
    <w:rsid w:val="15112004"/>
    <w:rsid w:val="151804A0"/>
    <w:rsid w:val="18817E6B"/>
    <w:rsid w:val="195309DA"/>
    <w:rsid w:val="1B5C56DB"/>
    <w:rsid w:val="1B7E266E"/>
    <w:rsid w:val="1BAE34D2"/>
    <w:rsid w:val="1BC6441B"/>
    <w:rsid w:val="1C193BF6"/>
    <w:rsid w:val="1DBD23EF"/>
    <w:rsid w:val="1FB82F87"/>
    <w:rsid w:val="213C2ECE"/>
    <w:rsid w:val="221D572D"/>
    <w:rsid w:val="24062BA4"/>
    <w:rsid w:val="29D97EC1"/>
    <w:rsid w:val="2A6E6D8C"/>
    <w:rsid w:val="2BB8135F"/>
    <w:rsid w:val="2CBC054B"/>
    <w:rsid w:val="2D303E88"/>
    <w:rsid w:val="2E3F655A"/>
    <w:rsid w:val="2E781A2F"/>
    <w:rsid w:val="30AC7027"/>
    <w:rsid w:val="315F6EF0"/>
    <w:rsid w:val="32030C6C"/>
    <w:rsid w:val="33F75813"/>
    <w:rsid w:val="3527240B"/>
    <w:rsid w:val="36F17B6F"/>
    <w:rsid w:val="38CF6328"/>
    <w:rsid w:val="3BAC6214"/>
    <w:rsid w:val="3C316B3A"/>
    <w:rsid w:val="3D3F5FF7"/>
    <w:rsid w:val="3D824DC7"/>
    <w:rsid w:val="3FB020F6"/>
    <w:rsid w:val="40A160DE"/>
    <w:rsid w:val="42016B6E"/>
    <w:rsid w:val="43377CB2"/>
    <w:rsid w:val="441873E9"/>
    <w:rsid w:val="46E82D65"/>
    <w:rsid w:val="49673219"/>
    <w:rsid w:val="49E66732"/>
    <w:rsid w:val="4AA14C14"/>
    <w:rsid w:val="4ABB602B"/>
    <w:rsid w:val="4C931D3C"/>
    <w:rsid w:val="4E233F5C"/>
    <w:rsid w:val="4EAC2CD2"/>
    <w:rsid w:val="4EF214B3"/>
    <w:rsid w:val="504B11EE"/>
    <w:rsid w:val="51F21ABD"/>
    <w:rsid w:val="53750661"/>
    <w:rsid w:val="568F49F9"/>
    <w:rsid w:val="58363165"/>
    <w:rsid w:val="59111666"/>
    <w:rsid w:val="59845134"/>
    <w:rsid w:val="59FA6B63"/>
    <w:rsid w:val="5A3A4A51"/>
    <w:rsid w:val="5D2E70B9"/>
    <w:rsid w:val="5FC82583"/>
    <w:rsid w:val="608B376B"/>
    <w:rsid w:val="60F3236F"/>
    <w:rsid w:val="610D7A9C"/>
    <w:rsid w:val="611A103E"/>
    <w:rsid w:val="62AC3D93"/>
    <w:rsid w:val="62B52881"/>
    <w:rsid w:val="62F85F23"/>
    <w:rsid w:val="63FA332B"/>
    <w:rsid w:val="69614E77"/>
    <w:rsid w:val="69C872C7"/>
    <w:rsid w:val="6C277CFE"/>
    <w:rsid w:val="71BB2FB2"/>
    <w:rsid w:val="71CD5108"/>
    <w:rsid w:val="7278090F"/>
    <w:rsid w:val="73A56221"/>
    <w:rsid w:val="73BC2DBF"/>
    <w:rsid w:val="74813B6F"/>
    <w:rsid w:val="755A2C69"/>
    <w:rsid w:val="7757359D"/>
    <w:rsid w:val="77C7559D"/>
    <w:rsid w:val="7B944382"/>
    <w:rsid w:val="7C3B3927"/>
    <w:rsid w:val="7F782663"/>
    <w:rsid w:val="7F7D0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 w:val="24"/>
      <w:szCs w:val="22"/>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15">
    <w:name w:val="List Paragraph"/>
    <w:basedOn w:val="1"/>
    <w:qFormat/>
    <w:uiPriority w:val="99"/>
    <w:pPr>
      <w:ind w:firstLine="420" w:firstLineChars="200"/>
    </w:pPr>
  </w:style>
  <w:style w:type="paragraph" w:customStyle="1" w:styleId="16">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1401</Words>
  <Characters>7991</Characters>
  <Lines>66</Lines>
  <Paragraphs>18</Paragraphs>
  <TotalTime>10</TotalTime>
  <ScaleCrop>false</ScaleCrop>
  <LinksUpToDate>false</LinksUpToDate>
  <CharactersWithSpaces>9374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2020-05-15T00:42:00Z</dcterms:created>
  <dc:creator>微软用户</dc:creator>
  <cp:lastModifiedBy>郭力</cp:lastModifiedBy>
  <dcterms:modified xsi:type="dcterms:W3CDTF">2021-03-24T03:09:20Z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