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val="en-US" w:eastAsia="zh-CN"/>
              </w:rPr>
              <w:t>办公室/财务部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刘敬钦</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徐中连</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21-22</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rFonts w:hint="default" w:ascii="宋体" w:hAnsi="宋体" w:eastAsia="宋体" w:cs="Arial"/>
                <w:color w:val="auto"/>
                <w:spacing w:val="-6"/>
                <w:sz w:val="21"/>
                <w:szCs w:val="21"/>
                <w:lang w:val="en-US" w:eastAsia="zh-CN"/>
              </w:rPr>
            </w:pPr>
            <w:r>
              <w:rPr>
                <w:rFonts w:hint="eastAsia"/>
                <w:sz w:val="24"/>
                <w:szCs w:val="24"/>
              </w:rPr>
              <w:t>审核条款</w:t>
            </w:r>
            <w:r>
              <w:rPr>
                <w:rFonts w:hint="eastAsia" w:ascii="宋体" w:hAnsi="宋体" w:cs="Arial"/>
                <w:color w:val="auto"/>
                <w:sz w:val="21"/>
                <w:szCs w:val="21"/>
                <w:lang w:val="en-US" w:eastAsia="zh-CN"/>
              </w:rPr>
              <w:t>QE:</w:t>
            </w:r>
            <w:r>
              <w:rPr>
                <w:rFonts w:hint="eastAsia" w:ascii="宋体" w:hAnsi="宋体" w:cs="Arial"/>
                <w:color w:val="auto"/>
                <w:sz w:val="21"/>
                <w:szCs w:val="21"/>
              </w:rPr>
              <w:t>7.1.2、7.1.6、7.2、7.3、</w:t>
            </w:r>
            <w:r>
              <w:rPr>
                <w:rFonts w:hint="eastAsia" w:ascii="宋体" w:hAnsi="宋体" w:cs="Arial"/>
                <w:color w:val="auto"/>
                <w:spacing w:val="-6"/>
                <w:sz w:val="21"/>
                <w:szCs w:val="21"/>
              </w:rPr>
              <w:t>7.4</w:t>
            </w:r>
            <w:r>
              <w:rPr>
                <w:rFonts w:hint="eastAsia" w:ascii="宋体" w:hAnsi="宋体" w:cs="Arial"/>
                <w:color w:val="auto"/>
                <w:spacing w:val="-6"/>
                <w:sz w:val="21"/>
                <w:szCs w:val="21"/>
                <w:lang w:eastAsia="zh-CN"/>
              </w:rPr>
              <w:t>、</w:t>
            </w:r>
            <w:r>
              <w:rPr>
                <w:rFonts w:hint="eastAsia" w:ascii="宋体" w:hAnsi="宋体" w:cs="Arial"/>
                <w:color w:val="auto"/>
                <w:sz w:val="21"/>
                <w:szCs w:val="21"/>
              </w:rPr>
              <w:t>7.5.1、7.5.2</w:t>
            </w:r>
            <w:r>
              <w:rPr>
                <w:rFonts w:hint="eastAsia" w:ascii="宋体" w:hAnsi="宋体" w:cs="Arial"/>
                <w:color w:val="auto"/>
                <w:spacing w:val="-6"/>
                <w:sz w:val="21"/>
                <w:szCs w:val="21"/>
              </w:rPr>
              <w:t>、7.5.3</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9.1.3</w:t>
            </w:r>
          </w:p>
          <w:p>
            <w:pPr>
              <w:adjustRightInd w:val="0"/>
              <w:snapToGrid w:val="0"/>
              <w:spacing w:line="360" w:lineRule="auto"/>
              <w:ind w:right="105" w:rightChars="50"/>
              <w:textAlignment w:val="baseline"/>
              <w:rPr>
                <w:sz w:val="24"/>
                <w:szCs w:val="24"/>
              </w:rPr>
            </w:pPr>
            <w:r>
              <w:rPr>
                <w:rFonts w:hint="eastAsia" w:ascii="宋体" w:hAnsi="宋体" w:cs="Arial"/>
                <w:color w:val="auto"/>
                <w:spacing w:val="-6"/>
                <w:sz w:val="21"/>
                <w:szCs w:val="21"/>
                <w:lang w:val="en-US" w:eastAsia="zh-CN"/>
              </w:rPr>
              <w:t xml:space="preserve">            E：</w:t>
            </w:r>
            <w:r>
              <w:rPr>
                <w:rFonts w:hint="eastAsia" w:asciiTheme="minorEastAsia" w:hAnsiTheme="minorEastAsia" w:eastAsiaTheme="minorEastAsia" w:cstheme="minorEastAsia"/>
                <w:b w:val="0"/>
                <w:bCs w:val="0"/>
                <w:color w:val="auto"/>
                <w:sz w:val="21"/>
                <w:szCs w:val="21"/>
                <w:lang w:val="en-US" w:eastAsia="zh-CN"/>
              </w:rPr>
              <w:t>6.1.3、6.1.4、6.2.1、6.2.2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环境因素识别及控制措施</w:t>
            </w:r>
          </w:p>
        </w:tc>
        <w:tc>
          <w:tcPr>
            <w:tcW w:w="998" w:type="dxa"/>
            <w:vAlign w:val="top"/>
          </w:tcPr>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E:6.1.4</w:t>
            </w:r>
          </w:p>
        </w:tc>
        <w:tc>
          <w:tcPr>
            <w:tcW w:w="10004"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环境因素识别和评价控制程序</w:t>
            </w:r>
            <w:r>
              <w:rPr>
                <w:rFonts w:hint="eastAsia" w:ascii="宋体" w:hAnsi="宋体" w:cs="宋体"/>
                <w:szCs w:val="21"/>
                <w:lang w:val="en-US" w:eastAsia="zh-CN"/>
              </w:rPr>
              <w:t>》、《风险和机遇的应对措施控制程序》等程序，按照相关程序执行。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w:t>
            </w:r>
            <w:r>
              <w:rPr>
                <w:rFonts w:hint="eastAsia" w:ascii="宋体" w:hAnsi="宋体" w:cs="宋体"/>
                <w:szCs w:val="21"/>
                <w:lang w:eastAsia="zh-CN"/>
              </w:rPr>
              <w:t>抽油泵（节能环保抽油泵，耐磨防腐抽油泵，防砂抽油泵、螺杆式抽油泵，整筒式抽油泵）及配件，螺杆钻具、螺杆泵驱动装置及专用变频控制柜，钻采配件生产</w:t>
            </w:r>
            <w:r>
              <w:rPr>
                <w:rFonts w:hint="eastAsia" w:ascii="宋体" w:hAnsi="宋体" w:cs="宋体"/>
                <w:szCs w:val="21"/>
              </w:rPr>
              <w:t>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w:t>
            </w:r>
            <w:bookmarkStart w:id="0" w:name="_GoBack"/>
            <w:bookmarkEnd w:id="0"/>
            <w:r>
              <w:rPr>
                <w:rFonts w:hint="eastAsia" w:ascii="宋体" w:hAnsi="宋体" w:eastAsia="宋体" w:cs="宋体"/>
                <w:szCs w:val="21"/>
                <w:lang w:val="en-US" w:eastAsia="zh-CN"/>
              </w:rPr>
              <w:t>的消耗、汽车尾气的排放、</w:t>
            </w:r>
            <w:r>
              <w:rPr>
                <w:rFonts w:hint="eastAsia" w:ascii="宋体" w:hAnsi="宋体" w:cs="宋体"/>
                <w:szCs w:val="21"/>
                <w:lang w:val="en-US" w:eastAsia="zh-CN"/>
              </w:rPr>
              <w:t>生活垃圾的排放、纸箱、包装物的废弃物、电灯产生的废弃物等；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2</w:t>
            </w:r>
            <w:r>
              <w:rPr>
                <w:rFonts w:hint="eastAsia" w:ascii="宋体" w:hAnsi="宋体" w:eastAsia="宋体" w:cs="宋体"/>
                <w:szCs w:val="21"/>
                <w:lang w:val="en-US" w:eastAsia="zh-CN"/>
              </w:rPr>
              <w:t>项，包括</w:t>
            </w:r>
            <w:r>
              <w:rPr>
                <w:rFonts w:hint="eastAsia"/>
                <w:sz w:val="21"/>
                <w:szCs w:val="21"/>
              </w:rPr>
              <w:t>资源能源消耗、固体废弃物排放、噪声排放、火灾的发生，评价准确。</w:t>
            </w:r>
          </w:p>
          <w:p>
            <w:pPr>
              <w:pStyle w:val="15"/>
              <w:spacing w:line="360" w:lineRule="auto"/>
              <w:rPr>
                <w:rFonts w:ascii="宋体" w:hAnsi="宋体" w:cs="宋体"/>
                <w:szCs w:val="21"/>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以上重要环境因素清单中制定了针对性控制措施，措施基本有效。</w:t>
            </w:r>
          </w:p>
        </w:tc>
        <w:tc>
          <w:tcPr>
            <w:tcW w:w="1585" w:type="dxa"/>
            <w:vAlign w:val="top"/>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998"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10004" w:type="dxa"/>
            <w:vAlign w:val="top"/>
          </w:tcPr>
          <w:p>
            <w:pPr>
              <w:spacing w:line="360" w:lineRule="auto"/>
              <w:rPr>
                <w:rFonts w:hint="eastAsia"/>
                <w:lang w:val="en-US" w:eastAsia="zh-CN"/>
              </w:rPr>
            </w:pPr>
            <w:r>
              <w:rPr>
                <w:rFonts w:hint="eastAsia"/>
              </w:rPr>
              <w:t>有</w:t>
            </w:r>
            <w:r>
              <w:rPr>
                <w:rFonts w:hint="eastAsia"/>
                <w:lang w:eastAsia="zh-CN"/>
              </w:rPr>
              <w:t>《</w:t>
            </w:r>
            <w:r>
              <w:rPr>
                <w:rFonts w:hint="eastAsia"/>
              </w:rPr>
              <w:t>法律法规及其他要求控制程序</w:t>
            </w:r>
            <w:r>
              <w:rPr>
                <w:rFonts w:hint="eastAsia"/>
                <w:lang w:eastAsia="zh-CN"/>
              </w:rPr>
              <w:t>》</w:t>
            </w:r>
            <w:r>
              <w:rPr>
                <w:rFonts w:hint="eastAsia"/>
              </w:rPr>
              <w:t>、</w:t>
            </w:r>
            <w:r>
              <w:rPr>
                <w:rFonts w:hint="eastAsia"/>
                <w:lang w:eastAsia="zh-CN"/>
              </w:rPr>
              <w:t>《</w:t>
            </w:r>
            <w:r>
              <w:rPr>
                <w:rFonts w:hint="eastAsia"/>
              </w:rPr>
              <w:t>合规性评价控制程序</w:t>
            </w:r>
            <w:r>
              <w:rPr>
                <w:rFonts w:hint="eastAsia"/>
                <w:lang w:eastAsia="zh-CN"/>
              </w:rPr>
              <w:t>》</w:t>
            </w:r>
            <w:r>
              <w:rPr>
                <w:rFonts w:hint="eastAsia"/>
                <w:lang w:val="en-US" w:eastAsia="zh-CN"/>
              </w:rPr>
              <w:t>等，</w:t>
            </w:r>
          </w:p>
          <w:p>
            <w:pPr>
              <w:spacing w:line="360" w:lineRule="auto"/>
              <w:rPr>
                <w:rFonts w:hint="eastAsia"/>
              </w:rPr>
            </w:pPr>
            <w:r>
              <w:rPr>
                <w:rFonts w:hint="eastAsia"/>
              </w:rPr>
              <w:t>提供公司适用的法律法规及要求清单，主要有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GB/T19001-2016《质量管理体系 要求》、GB/T24001-2016《环境管理体系 要求及使用指南》、GB/T28001-2011《职业健康安全管理体系 要求》及相关产品标准</w:t>
            </w:r>
          </w:p>
          <w:p>
            <w:pPr>
              <w:spacing w:line="360" w:lineRule="auto"/>
              <w:rPr>
                <w:rFonts w:hint="eastAsia"/>
              </w:rPr>
            </w:pPr>
            <w:r>
              <w:rPr>
                <w:rFonts w:hint="eastAsia"/>
              </w:rPr>
              <w:t>产品执行的标准：</w:t>
            </w:r>
          </w:p>
          <w:p>
            <w:pPr>
              <w:spacing w:line="360" w:lineRule="auto"/>
              <w:ind w:firstLine="315" w:firstLineChars="150"/>
              <w:rPr>
                <w:rFonts w:hint="eastAsia"/>
              </w:rPr>
            </w:pPr>
            <w:r>
              <w:rPr>
                <w:rFonts w:hint="eastAsia"/>
              </w:rPr>
              <w:t>1、抽油泵（螺杆式抽油泵、防沙抽油泵、整桶式抽油泵、耐磨防腐泵、节能环保抽油泵）</w:t>
            </w:r>
          </w:p>
          <w:p>
            <w:pPr>
              <w:numPr>
                <w:ilvl w:val="0"/>
                <w:numId w:val="1"/>
              </w:numPr>
              <w:spacing w:line="360" w:lineRule="auto"/>
              <w:rPr>
                <w:rFonts w:hint="eastAsia"/>
              </w:rPr>
            </w:pPr>
            <w:r>
              <w:rPr>
                <w:rFonts w:hint="eastAsia"/>
              </w:rPr>
              <w:t>GB/T18607-2008  抽油泵机器组件规范</w:t>
            </w:r>
          </w:p>
          <w:p>
            <w:pPr>
              <w:numPr>
                <w:ilvl w:val="0"/>
                <w:numId w:val="1"/>
              </w:numPr>
              <w:spacing w:line="360" w:lineRule="auto"/>
              <w:rPr>
                <w:rFonts w:hint="eastAsia"/>
              </w:rPr>
            </w:pPr>
            <w:r>
              <w:rPr>
                <w:rFonts w:hint="eastAsia"/>
              </w:rPr>
              <w:t>GB/T21411.1-2014螺杆式抽油泵</w:t>
            </w:r>
          </w:p>
          <w:p>
            <w:pPr>
              <w:numPr>
                <w:ilvl w:val="0"/>
                <w:numId w:val="1"/>
              </w:numPr>
              <w:spacing w:line="360" w:lineRule="auto"/>
              <w:rPr>
                <w:rFonts w:hint="eastAsia"/>
              </w:rPr>
            </w:pPr>
            <w:r>
              <w:rPr>
                <w:rFonts w:hint="eastAsia"/>
              </w:rPr>
              <w:t>GB/T18607-2017石油天然气工业  钻井和采油设备  往复式整桶抽油泵</w:t>
            </w:r>
          </w:p>
          <w:p>
            <w:pPr>
              <w:numPr>
                <w:ilvl w:val="0"/>
                <w:numId w:val="1"/>
              </w:numPr>
              <w:spacing w:line="360" w:lineRule="auto"/>
              <w:rPr>
                <w:rFonts w:hint="eastAsia"/>
              </w:rPr>
            </w:pPr>
            <w:r>
              <w:rPr>
                <w:rFonts w:hint="eastAsia"/>
              </w:rPr>
              <w:t>Q/HY  ZXQF005-2018常柱塞防沙可正洗技能环保抽油</w:t>
            </w:r>
          </w:p>
          <w:p>
            <w:pPr>
              <w:spacing w:line="360" w:lineRule="auto"/>
              <w:ind w:left="360"/>
              <w:rPr>
                <w:rFonts w:hint="eastAsia"/>
              </w:rPr>
            </w:pPr>
            <w:r>
              <w:rPr>
                <w:rFonts w:hint="eastAsia"/>
              </w:rPr>
              <w:t>2、螺杆泵驱动装置、螺杆泵专用变频控制柜</w:t>
            </w:r>
          </w:p>
          <w:p>
            <w:pPr>
              <w:spacing w:line="360" w:lineRule="auto"/>
              <w:ind w:left="360"/>
              <w:rPr>
                <w:rFonts w:hint="eastAsia"/>
              </w:rPr>
            </w:pPr>
            <w:r>
              <w:rPr>
                <w:rFonts w:hint="eastAsia"/>
              </w:rPr>
              <w:t>GB/T21411.2-2009石油天然气工业井下设备 人工举升用螺杆泵系统第二部分：地面驱动装置</w:t>
            </w:r>
          </w:p>
          <w:p>
            <w:pPr>
              <w:spacing w:line="360" w:lineRule="auto"/>
              <w:ind w:left="360"/>
              <w:rPr>
                <w:rFonts w:hint="eastAsia"/>
              </w:rPr>
            </w:pPr>
            <w:r>
              <w:rPr>
                <w:rFonts w:hint="eastAsia"/>
              </w:rPr>
              <w:t>3、《商品经营服务质量管理规范》GB/T16868-2009等；</w:t>
            </w:r>
          </w:p>
          <w:p>
            <w:pPr>
              <w:spacing w:line="360" w:lineRule="auto"/>
              <w:ind w:left="360"/>
              <w:rPr>
                <w:rFonts w:hint="eastAsia"/>
              </w:rPr>
            </w:pPr>
            <w:r>
              <w:rPr>
                <w:rFonts w:hint="eastAsia"/>
              </w:rPr>
              <w:t>获取方式：网上查录或购买，经查阅为现行有效版本，目前满足体系运行需要。</w:t>
            </w:r>
          </w:p>
          <w:p>
            <w:pPr>
              <w:spacing w:line="360" w:lineRule="auto"/>
              <w:rPr>
                <w:rFonts w:hint="eastAsia"/>
                <w:sz w:val="21"/>
                <w:szCs w:val="21"/>
              </w:rPr>
            </w:pPr>
            <w:r>
              <w:rPr>
                <w:rFonts w:hint="eastAsia"/>
                <w:sz w:val="21"/>
                <w:szCs w:val="21"/>
              </w:rPr>
              <w:t>查合规性评价：20</w:t>
            </w:r>
            <w:r>
              <w:rPr>
                <w:rFonts w:hint="eastAsia"/>
                <w:sz w:val="21"/>
                <w:szCs w:val="21"/>
                <w:lang w:val="en-US" w:eastAsia="zh-CN"/>
              </w:rPr>
              <w:t>20</w:t>
            </w:r>
            <w:r>
              <w:rPr>
                <w:rFonts w:hint="eastAsia"/>
                <w:sz w:val="21"/>
                <w:szCs w:val="21"/>
              </w:rPr>
              <w:t>年9月20日进行合规性评价，提供了《合规性评价表》，内容包括：活动场所/产品/服务、重要环境因素、不可接受风险、现有控制措施、适用的法律法规及其对应条款、符合性评价等。</w:t>
            </w:r>
          </w:p>
          <w:p>
            <w:pPr>
              <w:spacing w:line="360" w:lineRule="auto"/>
              <w:rPr>
                <w:rFonts w:hint="eastAsia"/>
                <w:sz w:val="21"/>
                <w:szCs w:val="21"/>
              </w:rPr>
            </w:pPr>
            <w:r>
              <w:rPr>
                <w:rFonts w:hint="eastAsia"/>
                <w:sz w:val="21"/>
                <w:szCs w:val="21"/>
              </w:rPr>
              <w:t>评价了相关的法律法规，涉及火灾、固废排放、资源消耗、机械伤害、触电等</w:t>
            </w:r>
          </w:p>
          <w:p>
            <w:pPr>
              <w:spacing w:line="360" w:lineRule="auto"/>
              <w:rPr>
                <w:rFonts w:hint="eastAsia"/>
                <w:sz w:val="21"/>
                <w:szCs w:val="21"/>
              </w:rPr>
            </w:pPr>
            <w:r>
              <w:rPr>
                <w:rFonts w:hint="eastAsia"/>
                <w:sz w:val="21"/>
                <w:szCs w:val="21"/>
              </w:rPr>
              <w:t>评价结果：公司能够按照有关法律法规、公司文件进行控制、检查，能够遵守国家、地方的法律法规，合规性评价符合要求。</w:t>
            </w:r>
          </w:p>
          <w:p>
            <w:pPr>
              <w:spacing w:line="360" w:lineRule="auto"/>
              <w:rPr>
                <w:sz w:val="21"/>
                <w:szCs w:val="21"/>
              </w:rPr>
            </w:pPr>
            <w:r>
              <w:rPr>
                <w:rFonts w:hint="eastAsia"/>
                <w:sz w:val="21"/>
                <w:szCs w:val="21"/>
              </w:rPr>
              <w:t>批准/日期：王传荣 20</w:t>
            </w:r>
            <w:r>
              <w:rPr>
                <w:rFonts w:hint="eastAsia"/>
                <w:sz w:val="21"/>
                <w:szCs w:val="21"/>
                <w:lang w:val="en-US" w:eastAsia="zh-CN"/>
              </w:rPr>
              <w:t>20</w:t>
            </w:r>
            <w:r>
              <w:rPr>
                <w:rFonts w:hint="eastAsia"/>
                <w:sz w:val="21"/>
                <w:szCs w:val="21"/>
              </w:rPr>
              <w:t>.9.20</w:t>
            </w:r>
          </w:p>
          <w:p>
            <w:pPr>
              <w:pStyle w:val="2"/>
              <w:spacing w:line="360" w:lineRule="auto"/>
            </w:pPr>
            <w:r>
              <w:rPr>
                <w:rFonts w:hint="eastAsia"/>
                <w:sz w:val="21"/>
                <w:szCs w:val="21"/>
              </w:rPr>
              <w:t>经查合规性评价基本符合要求。</w:t>
            </w:r>
          </w:p>
        </w:tc>
        <w:tc>
          <w:tcPr>
            <w:tcW w:w="1585" w:type="dxa"/>
            <w:vAlign w:val="top"/>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p>
            <w:pPr>
              <w:spacing w:line="360" w:lineRule="auto"/>
              <w:rPr>
                <w:szCs w:val="21"/>
              </w:rPr>
            </w:pPr>
            <w:r>
              <w:rPr>
                <w:rFonts w:hint="eastAsia"/>
                <w:szCs w:val="21"/>
              </w:rPr>
              <w:t>E6.2.1</w:t>
            </w:r>
          </w:p>
        </w:tc>
        <w:tc>
          <w:tcPr>
            <w:tcW w:w="10004" w:type="dxa"/>
            <w:vAlign w:val="center"/>
          </w:tcPr>
          <w:p>
            <w:pPr>
              <w:spacing w:line="360" w:lineRule="auto"/>
              <w:rPr>
                <w:rFonts w:hint="eastAsia"/>
                <w:sz w:val="21"/>
                <w:szCs w:val="21"/>
              </w:rPr>
            </w:pPr>
            <w:r>
              <w:rPr>
                <w:rFonts w:hint="eastAsia"/>
                <w:sz w:val="21"/>
                <w:szCs w:val="21"/>
              </w:rPr>
              <w:t>出示了20</w:t>
            </w:r>
            <w:r>
              <w:rPr>
                <w:rFonts w:hint="eastAsia"/>
                <w:sz w:val="21"/>
                <w:szCs w:val="21"/>
                <w:lang w:val="en-US" w:eastAsia="zh-CN"/>
              </w:rPr>
              <w:t>20</w:t>
            </w:r>
            <w:r>
              <w:rPr>
                <w:rFonts w:hint="eastAsia"/>
                <w:sz w:val="21"/>
                <w:szCs w:val="21"/>
              </w:rPr>
              <w:t>年度目标完成情况如下：</w:t>
            </w:r>
          </w:p>
          <w:p>
            <w:pPr>
              <w:spacing w:line="360" w:lineRule="auto"/>
              <w:rPr>
                <w:rFonts w:hint="eastAsia"/>
                <w:sz w:val="21"/>
                <w:szCs w:val="21"/>
              </w:rPr>
            </w:pPr>
            <w:r>
              <w:rPr>
                <w:rFonts w:hint="eastAsia"/>
                <w:sz w:val="21"/>
                <w:szCs w:val="21"/>
              </w:rPr>
              <w:t>部门目标：               考核情况</w:t>
            </w:r>
          </w:p>
          <w:p>
            <w:pPr>
              <w:spacing w:line="360" w:lineRule="auto"/>
              <w:rPr>
                <w:rFonts w:hint="eastAsia"/>
                <w:sz w:val="21"/>
                <w:szCs w:val="21"/>
              </w:rPr>
            </w:pPr>
            <w:r>
              <w:rPr>
                <w:rFonts w:hint="eastAsia"/>
                <w:sz w:val="21"/>
                <w:szCs w:val="21"/>
              </w:rPr>
              <w:t>文件发放有效率100%；     100%</w:t>
            </w:r>
          </w:p>
          <w:p>
            <w:pPr>
              <w:spacing w:line="360" w:lineRule="auto"/>
              <w:rPr>
                <w:rFonts w:hint="eastAsia"/>
                <w:sz w:val="21"/>
                <w:szCs w:val="21"/>
              </w:rPr>
            </w:pPr>
            <w:r>
              <w:rPr>
                <w:rFonts w:hint="eastAsia"/>
                <w:sz w:val="21"/>
                <w:szCs w:val="21"/>
              </w:rPr>
              <w:t>培训计划完成率98%；      100%</w:t>
            </w:r>
          </w:p>
          <w:p>
            <w:pPr>
              <w:spacing w:line="360" w:lineRule="auto"/>
              <w:rPr>
                <w:rFonts w:hint="eastAsia"/>
                <w:sz w:val="21"/>
                <w:szCs w:val="21"/>
              </w:rPr>
            </w:pPr>
            <w:r>
              <w:rPr>
                <w:rFonts w:hint="eastAsia"/>
                <w:sz w:val="21"/>
                <w:szCs w:val="21"/>
              </w:rPr>
              <w:t>固废分类处置率100%；      100%</w:t>
            </w:r>
          </w:p>
          <w:p>
            <w:pPr>
              <w:spacing w:line="360" w:lineRule="auto"/>
              <w:rPr>
                <w:rFonts w:hint="eastAsia"/>
                <w:sz w:val="21"/>
                <w:szCs w:val="21"/>
              </w:rPr>
            </w:pPr>
            <w:r>
              <w:rPr>
                <w:rFonts w:hint="eastAsia"/>
                <w:sz w:val="21"/>
                <w:szCs w:val="21"/>
              </w:rPr>
              <w:t>安全及火灾事故为0；         0</w:t>
            </w:r>
          </w:p>
          <w:p>
            <w:pPr>
              <w:spacing w:line="360" w:lineRule="auto"/>
              <w:rPr>
                <w:rFonts w:hint="eastAsia"/>
                <w:sz w:val="21"/>
                <w:szCs w:val="21"/>
              </w:rPr>
            </w:pPr>
            <w:r>
              <w:rPr>
                <w:rFonts w:hint="eastAsia"/>
                <w:sz w:val="21"/>
                <w:szCs w:val="21"/>
              </w:rPr>
              <w:t>环保安全资金落实率100%    100%</w:t>
            </w:r>
          </w:p>
          <w:p>
            <w:pPr>
              <w:spacing w:line="360" w:lineRule="auto"/>
              <w:rPr>
                <w:rFonts w:hint="eastAsia"/>
                <w:sz w:val="21"/>
                <w:szCs w:val="21"/>
              </w:rPr>
            </w:pPr>
            <w:r>
              <w:rPr>
                <w:rFonts w:hint="eastAsia"/>
                <w:sz w:val="21"/>
                <w:szCs w:val="21"/>
              </w:rPr>
              <w:t>每3个月进行一次考核，目标基本实现。</w:t>
            </w:r>
          </w:p>
          <w:p>
            <w:pPr>
              <w:spacing w:line="360" w:lineRule="auto"/>
              <w:rPr>
                <w:rFonts w:hint="eastAsia" w:eastAsia="宋体"/>
                <w:sz w:val="21"/>
                <w:szCs w:val="21"/>
                <w:lang w:eastAsia="zh-CN"/>
              </w:rPr>
            </w:pPr>
            <w:r>
              <w:rPr>
                <w:rFonts w:hint="eastAsia"/>
                <w:sz w:val="21"/>
                <w:szCs w:val="21"/>
              </w:rPr>
              <w:t>考核人： 刘敬钦    20</w:t>
            </w:r>
            <w:r>
              <w:rPr>
                <w:rFonts w:hint="eastAsia"/>
                <w:sz w:val="21"/>
                <w:szCs w:val="21"/>
                <w:lang w:val="en-US" w:eastAsia="zh-CN"/>
              </w:rPr>
              <w:t>21</w:t>
            </w:r>
            <w:r>
              <w:rPr>
                <w:rFonts w:hint="eastAsia"/>
                <w:sz w:val="21"/>
                <w:szCs w:val="21"/>
              </w:rPr>
              <w:t>.1.</w:t>
            </w:r>
            <w:r>
              <w:rPr>
                <w:rFonts w:hint="eastAsia"/>
                <w:sz w:val="21"/>
                <w:szCs w:val="21"/>
                <w:lang w:val="en-US" w:eastAsia="zh-CN"/>
              </w:rPr>
              <w:t>6</w:t>
            </w:r>
          </w:p>
          <w:p>
            <w:pPr>
              <w:spacing w:line="360" w:lineRule="auto"/>
              <w:rPr>
                <w:rFonts w:hint="eastAsia"/>
                <w:sz w:val="21"/>
                <w:szCs w:val="21"/>
              </w:rPr>
            </w:pPr>
            <w:r>
              <w:rPr>
                <w:rFonts w:hint="eastAsia"/>
                <w:sz w:val="21"/>
                <w:szCs w:val="21"/>
              </w:rPr>
              <w:t>抽查管理方案情况</w:t>
            </w:r>
          </w:p>
          <w:p>
            <w:pPr>
              <w:spacing w:line="360" w:lineRule="auto"/>
              <w:rPr>
                <w:rFonts w:hint="eastAsia"/>
                <w:sz w:val="21"/>
                <w:szCs w:val="21"/>
              </w:rPr>
            </w:pPr>
            <w:r>
              <w:rPr>
                <w:rFonts w:hint="eastAsia"/>
                <w:sz w:val="21"/>
                <w:szCs w:val="21"/>
              </w:rPr>
              <w:t>环境目标指标：废弃物100%分类堆放处置</w:t>
            </w:r>
          </w:p>
          <w:p>
            <w:pPr>
              <w:spacing w:line="360" w:lineRule="auto"/>
              <w:rPr>
                <w:rFonts w:hint="eastAsia"/>
                <w:sz w:val="21"/>
                <w:szCs w:val="21"/>
              </w:rPr>
            </w:pPr>
            <w:r>
              <w:rPr>
                <w:rFonts w:hint="eastAsia"/>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w:t>
            </w:r>
          </w:p>
          <w:p>
            <w:pPr>
              <w:spacing w:line="360" w:lineRule="auto"/>
              <w:rPr>
                <w:rFonts w:hint="eastAsia"/>
                <w:sz w:val="21"/>
                <w:szCs w:val="21"/>
              </w:rPr>
            </w:pPr>
            <w:r>
              <w:rPr>
                <w:rFonts w:hint="eastAsia"/>
                <w:sz w:val="21"/>
                <w:szCs w:val="21"/>
              </w:rPr>
              <w:t>完成时间：20</w:t>
            </w:r>
            <w:r>
              <w:rPr>
                <w:rFonts w:hint="eastAsia"/>
                <w:sz w:val="21"/>
                <w:szCs w:val="21"/>
                <w:lang w:val="en-US" w:eastAsia="zh-CN"/>
              </w:rPr>
              <w:t>20</w:t>
            </w:r>
            <w:r>
              <w:rPr>
                <w:rFonts w:hint="eastAsia"/>
                <w:sz w:val="21"/>
                <w:szCs w:val="21"/>
              </w:rPr>
              <w:t xml:space="preserve">.1-12费用5000元 </w:t>
            </w:r>
          </w:p>
          <w:p>
            <w:pPr>
              <w:spacing w:line="360" w:lineRule="auto"/>
              <w:rPr>
                <w:rFonts w:hint="eastAsia"/>
                <w:sz w:val="21"/>
                <w:szCs w:val="21"/>
              </w:rPr>
            </w:pPr>
            <w:r>
              <w:rPr>
                <w:rFonts w:hint="eastAsia"/>
                <w:sz w:val="21"/>
                <w:szCs w:val="21"/>
              </w:rPr>
              <w:t>责任部门：各部门，监控部门：办公室</w:t>
            </w:r>
          </w:p>
          <w:p>
            <w:pPr>
              <w:spacing w:line="360" w:lineRule="auto"/>
              <w:ind w:firstLine="420" w:firstLineChars="200"/>
              <w:rPr>
                <w:rFonts w:ascii="宋体" w:hAnsi="宋体" w:cs="宋体"/>
                <w:szCs w:val="21"/>
              </w:rPr>
            </w:pPr>
            <w:r>
              <w:rPr>
                <w:rFonts w:hint="eastAsia"/>
                <w:sz w:val="21"/>
                <w:szCs w:val="21"/>
              </w:rPr>
              <w:t>另抽杜绝火灾事故管理方案以上类似，措施基本可行。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环境目标实现措施策划</w:t>
            </w:r>
          </w:p>
        </w:tc>
        <w:tc>
          <w:tcPr>
            <w:tcW w:w="998" w:type="dxa"/>
          </w:tcPr>
          <w:p>
            <w:pPr>
              <w:spacing w:line="360" w:lineRule="auto"/>
              <w:rPr>
                <w:szCs w:val="21"/>
              </w:rPr>
            </w:pPr>
            <w:r>
              <w:rPr>
                <w:rFonts w:hint="eastAsia"/>
                <w:szCs w:val="21"/>
              </w:rPr>
              <w:t>E6.2.2</w:t>
            </w:r>
          </w:p>
        </w:tc>
        <w:tc>
          <w:tcPr>
            <w:tcW w:w="10004" w:type="dxa"/>
            <w:vAlign w:val="center"/>
          </w:tcPr>
          <w:p>
            <w:pPr>
              <w:spacing w:line="360" w:lineRule="auto"/>
              <w:ind w:firstLine="420" w:firstLineChars="200"/>
              <w:rPr>
                <w:rFonts w:hint="eastAsia" w:ascii="Times New Roman" w:hAnsi="Times New Roman" w:cs="Times New Roman"/>
                <w:szCs w:val="22"/>
              </w:rPr>
            </w:pPr>
            <w:r>
              <w:rPr>
                <w:rFonts w:hint="eastAsia"/>
              </w:rPr>
              <w:t>按《环境因素识别和评价控制程序》识别的重要环境因素制定管理措施，制定《相关方控制程序》等文件；由</w:t>
            </w:r>
            <w:r>
              <w:rPr>
                <w:rFonts w:hint="eastAsia"/>
                <w:lang w:eastAsia="zh-CN"/>
              </w:rPr>
              <w:t>办公室</w:t>
            </w:r>
            <w:r>
              <w:rPr>
                <w:rFonts w:hint="eastAsia" w:ascii="Times New Roman" w:hAnsi="Times New Roman" w:cs="Times New Roman"/>
                <w:szCs w:val="22"/>
              </w:rPr>
              <w:t>统一管理。基本不涉及重大法规要求的不可接受的环境和安全风险。</w:t>
            </w:r>
          </w:p>
          <w:p>
            <w:pPr>
              <w:spacing w:line="360" w:lineRule="auto"/>
              <w:ind w:firstLine="420" w:firstLineChars="200"/>
              <w:rPr>
                <w:rFonts w:hint="default" w:ascii="Times New Roman" w:hAnsi="Times New Roman" w:cs="Times New Roman"/>
                <w:szCs w:val="22"/>
              </w:rPr>
            </w:pPr>
            <w:r>
              <w:rPr>
                <w:rFonts w:hint="eastAsia" w:ascii="Times New Roman" w:hAnsi="Times New Roman" w:cs="Times New Roman"/>
                <w:szCs w:val="22"/>
              </w:rPr>
              <w:t>查见环境目标管理方案有时间期限、具体措施、责任人。</w:t>
            </w:r>
            <w:r>
              <w:rPr>
                <w:rFonts w:hint="eastAsia" w:ascii="Times New Roman" w:hAnsi="Times New Roman" w:cs="Times New Roman"/>
                <w:szCs w:val="22"/>
                <w:lang w:val="en-US" w:eastAsia="zh-CN"/>
              </w:rPr>
              <w:t>环境</w:t>
            </w:r>
            <w:r>
              <w:rPr>
                <w:rFonts w:hint="eastAsia" w:ascii="Times New Roman" w:hAnsi="Times New Roman" w:cs="Times New Roman"/>
                <w:szCs w:val="22"/>
              </w:rPr>
              <w:t>管理方案共计有</w:t>
            </w:r>
            <w:r>
              <w:rPr>
                <w:rFonts w:hint="eastAsia" w:ascii="Times New Roman" w:hAnsi="Times New Roman" w:cs="Times New Roman"/>
                <w:szCs w:val="22"/>
                <w:lang w:val="en-US" w:eastAsia="zh-CN"/>
              </w:rPr>
              <w:t>4</w:t>
            </w:r>
            <w:r>
              <w:rPr>
                <w:rFonts w:hint="eastAsia" w:ascii="Times New Roman" w:hAnsi="Times New Roman" w:cs="Times New Roman"/>
                <w:szCs w:val="22"/>
              </w:rPr>
              <w:t>个</w:t>
            </w:r>
            <w:r>
              <w:rPr>
                <w:rFonts w:hint="eastAsia" w:ascii="Times New Roman" w:hAnsi="Times New Roman" w:cs="Times New Roman"/>
                <w:szCs w:val="22"/>
                <w:lang w:eastAsia="zh-CN"/>
              </w:rPr>
              <w:t>。</w:t>
            </w:r>
            <w:r>
              <w:rPr>
                <w:rFonts w:hint="default" w:ascii="Times New Roman" w:hAnsi="Times New Roman" w:cs="Times New Roman"/>
                <w:szCs w:val="22"/>
              </w:rPr>
              <w:t>环境目标、指标：噪声达标排放昼间≤60dB,夜间≤50dB。</w:t>
            </w:r>
          </w:p>
          <w:p>
            <w:pPr>
              <w:spacing w:line="360" w:lineRule="auto"/>
              <w:ind w:firstLine="420" w:firstLineChars="200"/>
              <w:rPr>
                <w:rFonts w:hint="default" w:ascii="Times New Roman" w:hAnsi="Times New Roman" w:cs="Times New Roman"/>
                <w:szCs w:val="22"/>
              </w:rPr>
            </w:pPr>
            <w:r>
              <w:rPr>
                <w:rFonts w:hint="default" w:ascii="Times New Roman" w:hAnsi="Times New Roman" w:cs="Times New Roman"/>
                <w:szCs w:val="22"/>
              </w:rPr>
              <w:t>措施：各设备都安装减震、隔音设施</w:t>
            </w:r>
          </w:p>
          <w:p>
            <w:pPr>
              <w:spacing w:line="360" w:lineRule="auto"/>
              <w:ind w:firstLine="420" w:firstLineChars="200"/>
              <w:rPr>
                <w:rFonts w:hint="default" w:ascii="Times New Roman" w:hAnsi="Times New Roman" w:cs="Times New Roman"/>
                <w:szCs w:val="22"/>
              </w:rPr>
            </w:pPr>
            <w:r>
              <w:rPr>
                <w:rFonts w:hint="default" w:ascii="Times New Roman" w:hAnsi="Times New Roman" w:cs="Times New Roman"/>
                <w:szCs w:val="22"/>
              </w:rPr>
              <w:t>完成时间：20</w:t>
            </w:r>
            <w:r>
              <w:rPr>
                <w:rFonts w:hint="eastAsia" w:ascii="Times New Roman" w:hAnsi="Times New Roman" w:cs="Times New Roman"/>
                <w:szCs w:val="22"/>
                <w:lang w:val="en-US" w:eastAsia="zh-CN"/>
              </w:rPr>
              <w:t>20</w:t>
            </w:r>
            <w:r>
              <w:rPr>
                <w:rFonts w:hint="default" w:ascii="Times New Roman" w:hAnsi="Times New Roman" w:cs="Times New Roman"/>
                <w:szCs w:val="22"/>
              </w:rPr>
              <w:t>.1~12 费用：4000元 责任部门：生产技术部</w:t>
            </w:r>
          </w:p>
          <w:p>
            <w:pPr>
              <w:spacing w:line="360" w:lineRule="auto"/>
              <w:ind w:firstLine="420" w:firstLineChars="200"/>
              <w:rPr>
                <w:rFonts w:hint="default" w:ascii="Times New Roman" w:hAnsi="Times New Roman" w:cs="Times New Roman"/>
                <w:szCs w:val="22"/>
              </w:rPr>
            </w:pPr>
            <w:r>
              <w:rPr>
                <w:rFonts w:hint="default" w:ascii="Times New Roman" w:hAnsi="Times New Roman" w:cs="Times New Roman"/>
                <w:szCs w:val="22"/>
              </w:rPr>
              <w:t>•环境目标、指标：对粉尘排放总量的控制排放符合总量控制指标。</w:t>
            </w:r>
          </w:p>
          <w:p>
            <w:pPr>
              <w:spacing w:line="360" w:lineRule="auto"/>
              <w:ind w:firstLine="420" w:firstLineChars="200"/>
              <w:rPr>
                <w:rFonts w:hint="default" w:ascii="Times New Roman" w:hAnsi="Times New Roman" w:cs="Times New Roman"/>
                <w:szCs w:val="22"/>
              </w:rPr>
            </w:pPr>
            <w:r>
              <w:rPr>
                <w:rFonts w:hint="default" w:ascii="Times New Roman" w:hAnsi="Times New Roman" w:cs="Times New Roman"/>
                <w:szCs w:val="22"/>
              </w:rPr>
              <w:t>措施：佩戴劳保用品，道路硬化，植树...</w:t>
            </w:r>
          </w:p>
          <w:p>
            <w:pPr>
              <w:spacing w:line="360" w:lineRule="auto"/>
              <w:ind w:firstLine="420" w:firstLineChars="200"/>
              <w:rPr>
                <w:rFonts w:hint="default" w:ascii="Times New Roman" w:hAnsi="Times New Roman" w:cs="Times New Roman"/>
                <w:szCs w:val="22"/>
              </w:rPr>
            </w:pPr>
            <w:r>
              <w:rPr>
                <w:rFonts w:hint="default" w:ascii="Times New Roman" w:hAnsi="Times New Roman" w:cs="Times New Roman"/>
                <w:szCs w:val="22"/>
              </w:rPr>
              <w:t>完成时间：20</w:t>
            </w:r>
            <w:r>
              <w:rPr>
                <w:rFonts w:hint="eastAsia" w:ascii="Times New Roman" w:hAnsi="Times New Roman" w:cs="Times New Roman"/>
                <w:szCs w:val="22"/>
                <w:lang w:val="en-US" w:eastAsia="zh-CN"/>
              </w:rPr>
              <w:t>20</w:t>
            </w:r>
            <w:r>
              <w:rPr>
                <w:rFonts w:hint="default" w:ascii="Times New Roman" w:hAnsi="Times New Roman" w:cs="Times New Roman"/>
                <w:szCs w:val="22"/>
              </w:rPr>
              <w:t>.1~12 费用：3000元 责任部门：生技部/办公室</w:t>
            </w:r>
          </w:p>
          <w:p>
            <w:pPr>
              <w:spacing w:line="360" w:lineRule="auto"/>
              <w:ind w:firstLine="420" w:firstLineChars="200"/>
              <w:rPr>
                <w:rFonts w:hint="default" w:ascii="Times New Roman" w:hAnsi="Times New Roman" w:cs="Times New Roman"/>
                <w:szCs w:val="22"/>
              </w:rPr>
            </w:pPr>
            <w:r>
              <w:rPr>
                <w:rFonts w:hint="default" w:ascii="Times New Roman" w:hAnsi="Times New Roman" w:cs="Times New Roman"/>
                <w:szCs w:val="22"/>
              </w:rPr>
              <w:t>措施基本可行。</w:t>
            </w:r>
          </w:p>
          <w:p>
            <w:pPr>
              <w:spacing w:line="360" w:lineRule="auto"/>
              <w:ind w:firstLine="420" w:firstLineChars="200"/>
              <w:rPr>
                <w:rFonts w:hint="eastAsia" w:ascii="Times New Roman" w:hAnsi="Times New Roman" w:eastAsia="宋体" w:cs="Times New Roman"/>
                <w:szCs w:val="22"/>
              </w:rPr>
            </w:pPr>
            <w:r>
              <w:rPr>
                <w:rFonts w:hint="default" w:ascii="Times New Roman" w:hAnsi="Times New Roman" w:cs="Times New Roman"/>
                <w:szCs w:val="22"/>
              </w:rPr>
              <w:t>每季度组织一次对目标、指标管理方案进行程度、完成情况的考核，提供安全目标、指标考核记录，20</w:t>
            </w:r>
            <w:r>
              <w:rPr>
                <w:rFonts w:hint="eastAsia" w:ascii="Times New Roman" w:hAnsi="Times New Roman" w:cs="Times New Roman"/>
                <w:szCs w:val="22"/>
                <w:lang w:val="en-US" w:eastAsia="zh-CN"/>
              </w:rPr>
              <w:t>20</w:t>
            </w:r>
            <w:r>
              <w:rPr>
                <w:rFonts w:hint="default" w:ascii="Times New Roman" w:hAnsi="Times New Roman" w:cs="Times New Roman"/>
                <w:szCs w:val="22"/>
              </w:rPr>
              <w:t>年4季度的目标、指标管理方案完成情况考核，达到了阶段性的目</w:t>
            </w:r>
            <w:r>
              <w:rPr>
                <w:rFonts w:hint="default" w:ascii="Times New Roman" w:hAnsi="Times New Roman" w:eastAsia="宋体" w:cs="Times New Roman"/>
                <w:sz w:val="21"/>
                <w:szCs w:val="21"/>
              </w:rPr>
              <w:t>标要求。</w:t>
            </w:r>
          </w:p>
          <w:p>
            <w:pPr>
              <w:spacing w:line="360" w:lineRule="auto"/>
            </w:pPr>
            <w:r>
              <w:rPr>
                <w:rFonts w:hint="eastAsia" w:ascii="Times New Roman" w:hAnsi="Times New Roman" w:eastAsia="宋体" w:cs="Times New Roman"/>
                <w:szCs w:val="22"/>
              </w:rPr>
              <w:t>方案针对目标及指标提出了管理措施，方案中有具体的实施时间及经费，有相应的实施主体。</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人员</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Q7.1.2</w:t>
            </w:r>
          </w:p>
          <w:p>
            <w:pPr>
              <w:spacing w:line="360" w:lineRule="auto"/>
              <w:rPr>
                <w:b/>
                <w:szCs w:val="21"/>
              </w:rPr>
            </w:pPr>
          </w:p>
        </w:tc>
        <w:tc>
          <w:tcPr>
            <w:tcW w:w="10004" w:type="dxa"/>
            <w:vAlign w:val="center"/>
          </w:tcPr>
          <w:p>
            <w:pPr>
              <w:spacing w:line="360" w:lineRule="auto"/>
              <w:ind w:firstLine="420" w:firstLineChars="200"/>
            </w:pPr>
            <w:r>
              <w:rPr>
                <w:rFonts w:hint="eastAsia"/>
                <w:lang w:eastAsia="zh-CN"/>
              </w:rPr>
              <w:t>办公室</w:t>
            </w:r>
            <w:r>
              <w:rPr>
                <w:rFonts w:hint="eastAsia"/>
              </w:rPr>
              <w:t>根据各部门的需要配备管理体系运行所需的人员，任命内审员</w:t>
            </w:r>
            <w:r>
              <w:t>2</w:t>
            </w:r>
            <w:r>
              <w:rPr>
                <w:rFonts w:hint="eastAsia"/>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spacing w:line="360" w:lineRule="auto"/>
              <w:rPr>
                <w:rFonts w:hint="default" w:cs="Times New Roman"/>
                <w:kern w:val="2"/>
                <w:sz w:val="21"/>
                <w:szCs w:val="22"/>
                <w:lang w:val="en-US" w:eastAsia="zh-CN" w:bidi="ar-SA"/>
              </w:rPr>
            </w:pPr>
            <w:r>
              <w:rPr>
                <w:rFonts w:hint="eastAsia"/>
              </w:rPr>
              <w:t>提供有员工花名册，目前公司共有员工</w:t>
            </w:r>
            <w:r>
              <w:rPr>
                <w:rFonts w:hint="eastAsia"/>
                <w:lang w:val="en-US" w:eastAsia="zh-CN"/>
              </w:rPr>
              <w:t>29</w:t>
            </w:r>
            <w:r>
              <w:rPr>
                <w:rFonts w:hint="eastAsia"/>
              </w:rPr>
              <w:t>人，各部门人员配备基本充分，基本符合要求。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组织的知识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Q7.1.6</w:t>
            </w:r>
          </w:p>
          <w:p>
            <w:pPr>
              <w:spacing w:line="360" w:lineRule="auto"/>
              <w:rPr>
                <w:b/>
                <w:szCs w:val="21"/>
              </w:rPr>
            </w:pP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360" w:lineRule="auto"/>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能力</w:t>
            </w:r>
          </w:p>
          <w:p>
            <w:pPr>
              <w:spacing w:line="360" w:lineRule="auto"/>
              <w:rPr>
                <w:b/>
                <w:szCs w:val="21"/>
              </w:rPr>
            </w:pPr>
          </w:p>
        </w:tc>
        <w:tc>
          <w:tcPr>
            <w:tcW w:w="998" w:type="dxa"/>
          </w:tcPr>
          <w:p>
            <w:pPr>
              <w:spacing w:line="360" w:lineRule="auto"/>
              <w:rPr>
                <w:b/>
                <w:szCs w:val="21"/>
              </w:rPr>
            </w:pPr>
            <w:r>
              <w:rPr>
                <w:rFonts w:hint="eastAsia" w:ascii="宋体" w:hAnsi="宋体" w:cs="宋体"/>
                <w:color w:val="000000"/>
                <w:kern w:val="0"/>
                <w:szCs w:val="21"/>
              </w:rPr>
              <w:t>QE7.2</w:t>
            </w:r>
          </w:p>
        </w:tc>
        <w:tc>
          <w:tcPr>
            <w:tcW w:w="10004"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公司经识别，</w:t>
            </w:r>
            <w:r>
              <w:rPr>
                <w:rFonts w:hint="eastAsia" w:ascii="宋体" w:hAnsi="宋体" w:cs="宋体"/>
                <w:color w:val="000000"/>
                <w:kern w:val="0"/>
                <w:szCs w:val="21"/>
                <w:lang w:val="en-US" w:eastAsia="zh-CN"/>
              </w:rPr>
              <w:t>检定、校准</w:t>
            </w:r>
            <w:r>
              <w:rPr>
                <w:rFonts w:hint="eastAsia" w:ascii="宋体" w:hAnsi="宋体" w:cs="宋体"/>
                <w:color w:val="000000"/>
                <w:kern w:val="0"/>
                <w:szCs w:val="21"/>
              </w:rPr>
              <w:t>过程为关键过程，对人员岗位人员能力进行了资格确认，均有评审结果，基本符合要求。</w:t>
            </w:r>
          </w:p>
          <w:p>
            <w:pPr>
              <w:spacing w:line="360" w:lineRule="auto"/>
              <w:rPr>
                <w:rFonts w:ascii="宋体" w:hAnsi="宋体" w:cs="宋体"/>
                <w:color w:val="000000"/>
                <w:kern w:val="0"/>
                <w:szCs w:val="21"/>
              </w:rPr>
            </w:pPr>
            <w:r>
              <w:rPr>
                <w:rFonts w:hint="eastAsia" w:ascii="宋体" w:hAnsi="宋体" w:cs="宋体"/>
                <w:color w:val="000000"/>
                <w:kern w:val="0"/>
                <w:szCs w:val="21"/>
              </w:rPr>
              <w:t>查看“</w:t>
            </w:r>
            <w:r>
              <w:rPr>
                <w:rFonts w:hint="eastAsia" w:ascii="宋体" w:hAnsi="宋体" w:cs="宋体"/>
                <w:color w:val="000000"/>
                <w:kern w:val="0"/>
                <w:szCs w:val="21"/>
                <w:lang w:val="en-US" w:eastAsia="zh-CN"/>
              </w:rPr>
              <w:t>2020-</w:t>
            </w:r>
            <w:r>
              <w:rPr>
                <w:rFonts w:hint="eastAsia" w:ascii="宋体" w:hAnsi="宋体" w:cs="宋体"/>
                <w:color w:val="000000"/>
                <w:kern w:val="0"/>
                <w:szCs w:val="21"/>
              </w:rPr>
              <w:t>20</w:t>
            </w:r>
            <w:r>
              <w:rPr>
                <w:rFonts w:ascii="宋体" w:hAnsi="宋体" w:cs="宋体"/>
                <w:color w:val="000000"/>
                <w:kern w:val="0"/>
                <w:szCs w:val="21"/>
              </w:rPr>
              <w:t>2</w:t>
            </w:r>
            <w:r>
              <w:rPr>
                <w:rFonts w:hint="eastAsia" w:ascii="宋体" w:hAnsi="宋体" w:cs="宋体"/>
                <w:color w:val="000000"/>
                <w:kern w:val="0"/>
                <w:szCs w:val="21"/>
                <w:lang w:val="en-US" w:eastAsia="zh-CN"/>
              </w:rPr>
              <w:t>1</w:t>
            </w:r>
            <w:r>
              <w:rPr>
                <w:rFonts w:hint="eastAsia" w:ascii="宋体" w:hAnsi="宋体" w:cs="宋体"/>
                <w:color w:val="000000"/>
                <w:kern w:val="0"/>
                <w:szCs w:val="21"/>
              </w:rPr>
              <w:t>年培训计划”，内容包括质量、环境、安全基础知识培训。列入了培训计划内容如：管理评审知识、管理体系文件培训、安全知识等。查有：培训记录/评价表、培训试题等。</w:t>
            </w:r>
          </w:p>
          <w:p>
            <w:pPr>
              <w:spacing w:line="360" w:lineRule="auto"/>
              <w:rPr>
                <w:rFonts w:ascii="宋体" w:hAnsi="宋体" w:cs="宋体"/>
                <w:color w:val="000000"/>
                <w:kern w:val="0"/>
                <w:szCs w:val="21"/>
              </w:rPr>
            </w:pPr>
            <w:r>
              <w:rPr>
                <w:rFonts w:hint="eastAsia" w:ascii="宋体" w:hAnsi="宋体" w:cs="宋体"/>
                <w:color w:val="000000"/>
                <w:kern w:val="0"/>
                <w:szCs w:val="21"/>
              </w:rPr>
              <w:t>抽查《培训记录/评价表》：</w:t>
            </w:r>
          </w:p>
          <w:p>
            <w:pPr>
              <w:spacing w:line="360" w:lineRule="auto"/>
              <w:rPr>
                <w:rFonts w:ascii="宋体" w:hAnsi="宋体" w:cs="宋体"/>
                <w:color w:val="000000"/>
                <w:kern w:val="0"/>
                <w:szCs w:val="21"/>
              </w:rPr>
            </w:pPr>
            <w:r>
              <w:rPr>
                <w:rFonts w:hint="eastAsia" w:ascii="宋体" w:hAnsi="宋体" w:cs="宋体"/>
                <w:color w:val="000000"/>
                <w:kern w:val="0"/>
                <w:szCs w:val="21"/>
              </w:rPr>
              <w:t>1、20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6/5-7</w:t>
            </w:r>
            <w:r>
              <w:rPr>
                <w:rFonts w:hint="eastAsia" w:ascii="宋体" w:hAnsi="宋体" w:cs="宋体"/>
                <w:color w:val="000000"/>
                <w:kern w:val="0"/>
                <w:szCs w:val="21"/>
              </w:rPr>
              <w:t>：对管理体系文件进行了培训。培训老师：</w:t>
            </w:r>
            <w:r>
              <w:rPr>
                <w:rFonts w:hint="eastAsia" w:ascii="宋体" w:hAnsi="宋体" w:cs="宋体"/>
                <w:color w:val="000000"/>
                <w:kern w:val="0"/>
                <w:szCs w:val="21"/>
                <w:lang w:val="en-US" w:eastAsia="zh-CN"/>
              </w:rPr>
              <w:t>刘敬钦</w:t>
            </w:r>
            <w:r>
              <w:rPr>
                <w:rFonts w:hint="eastAsia" w:ascii="宋体" w:hAnsi="宋体" w:cs="宋体"/>
                <w:color w:val="000000"/>
                <w:kern w:val="0"/>
                <w:szCs w:val="21"/>
              </w:rPr>
              <w:t>，参加人员：各部门人员等。通过口试对理解情况进行考核，考核结果：全部通过。验证人：</w:t>
            </w:r>
            <w:r>
              <w:rPr>
                <w:rFonts w:hint="eastAsia" w:ascii="宋体" w:hAnsi="宋体" w:cs="宋体"/>
                <w:color w:val="000000"/>
                <w:kern w:val="0"/>
                <w:szCs w:val="21"/>
                <w:lang w:val="en-US" w:eastAsia="zh-CN"/>
              </w:rPr>
              <w:t>刘敬钦</w:t>
            </w: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2、20</w:t>
            </w:r>
            <w:r>
              <w:rPr>
                <w:rFonts w:ascii="宋体" w:hAnsi="宋体" w:cs="宋体"/>
                <w:color w:val="000000"/>
                <w:kern w:val="0"/>
                <w:szCs w:val="21"/>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7</w:t>
            </w:r>
            <w:r>
              <w:rPr>
                <w:rFonts w:hint="eastAsia"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：对环境及安全防护知识进行培训，培训老师：</w:t>
            </w:r>
            <w:r>
              <w:rPr>
                <w:rFonts w:hint="eastAsia" w:ascii="宋体" w:hAnsi="宋体" w:cs="宋体"/>
                <w:color w:val="000000"/>
                <w:kern w:val="0"/>
                <w:szCs w:val="21"/>
                <w:lang w:val="en-US" w:eastAsia="zh-CN"/>
              </w:rPr>
              <w:t>刘敬钦</w:t>
            </w:r>
            <w:r>
              <w:rPr>
                <w:rFonts w:hint="eastAsia" w:ascii="宋体" w:hAnsi="宋体" w:cs="宋体"/>
                <w:color w:val="000000"/>
                <w:kern w:val="0"/>
                <w:szCs w:val="21"/>
              </w:rPr>
              <w:t>。参加人：各部门人员等。通过口试对理解情况进行考核，考核结果：全部通过。验证人：</w:t>
            </w:r>
            <w:r>
              <w:rPr>
                <w:rFonts w:hint="eastAsia" w:ascii="宋体" w:hAnsi="宋体" w:cs="宋体"/>
                <w:color w:val="000000"/>
                <w:kern w:val="0"/>
                <w:szCs w:val="21"/>
                <w:lang w:val="en-US" w:eastAsia="zh-CN"/>
              </w:rPr>
              <w:t>刘敬钦</w:t>
            </w:r>
            <w:r>
              <w:rPr>
                <w:rFonts w:hint="eastAsia" w:ascii="宋体" w:hAnsi="宋体" w:cs="宋体"/>
                <w:color w:val="000000"/>
                <w:kern w:val="0"/>
                <w:szCs w:val="21"/>
              </w:rPr>
              <w:t>。</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b/>
                <w:szCs w:val="21"/>
              </w:rPr>
            </w:pPr>
          </w:p>
        </w:tc>
        <w:tc>
          <w:tcPr>
            <w:tcW w:w="10004" w:type="dxa"/>
            <w:vAlign w:val="center"/>
          </w:tcPr>
          <w:p>
            <w:pPr>
              <w:spacing w:line="360" w:lineRule="auto"/>
              <w:ind w:firstLine="420" w:firstLineChars="200"/>
            </w:pPr>
            <w:r>
              <w:rPr>
                <w:rFonts w:hint="eastAsia"/>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default"/>
                <w:szCs w:val="21"/>
                <w:lang w:val="en-US" w:eastAsia="zh-CN"/>
              </w:rPr>
            </w:pPr>
            <w:r>
              <w:rPr>
                <w:rFonts w:hint="eastAsia"/>
              </w:rPr>
              <w:t>询问</w:t>
            </w:r>
            <w:r>
              <w:rPr>
                <w:rFonts w:hint="eastAsia"/>
                <w:lang w:eastAsia="zh-CN"/>
              </w:rPr>
              <w:t>办公室徐中连</w:t>
            </w:r>
            <w:r>
              <w:rPr>
                <w:rFonts w:hint="eastAsia"/>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vAlign w:val="top"/>
          </w:tcPr>
          <w:p>
            <w:pPr>
              <w:spacing w:line="360" w:lineRule="auto"/>
              <w:rPr>
                <w:u w:val="none"/>
              </w:rPr>
            </w:pPr>
            <w:r>
              <w:rPr>
                <w:rFonts w:hint="eastAsia"/>
                <w:u w:val="none"/>
              </w:rPr>
              <w:t>沟通</w:t>
            </w:r>
          </w:p>
          <w:p>
            <w:pPr>
              <w:spacing w:line="360" w:lineRule="auto"/>
              <w:rPr>
                <w:rFonts w:ascii="Times New Roman" w:hAnsi="Times New Roman" w:eastAsia="宋体" w:cs="Times New Roman"/>
                <w:kern w:val="2"/>
                <w:sz w:val="21"/>
                <w:u w:val="none"/>
                <w:lang w:val="en-US" w:eastAsia="zh-CN" w:bidi="ar-SA"/>
              </w:rPr>
            </w:pPr>
          </w:p>
        </w:tc>
        <w:tc>
          <w:tcPr>
            <w:tcW w:w="998" w:type="dxa"/>
            <w:vAlign w:val="top"/>
          </w:tcPr>
          <w:p>
            <w:pPr>
              <w:spacing w:line="360" w:lineRule="auto"/>
              <w:rPr>
                <w:rFonts w:ascii="Times New Roman" w:hAnsi="Times New Roman" w:eastAsia="宋体" w:cs="Times New Roman"/>
                <w:kern w:val="2"/>
                <w:sz w:val="21"/>
                <w:u w:val="none"/>
                <w:lang w:val="en-US" w:eastAsia="zh-CN" w:bidi="ar-SA"/>
              </w:rPr>
            </w:pPr>
            <w:r>
              <w:rPr>
                <w:rFonts w:hint="eastAsia"/>
                <w:u w:val="none"/>
              </w:rPr>
              <w:t>QE7.4</w:t>
            </w:r>
          </w:p>
        </w:tc>
        <w:tc>
          <w:tcPr>
            <w:tcW w:w="10004" w:type="dxa"/>
            <w:vAlign w:val="center"/>
          </w:tcPr>
          <w:p>
            <w:pPr>
              <w:spacing w:line="360" w:lineRule="auto"/>
              <w:ind w:firstLine="420" w:firstLineChars="200"/>
              <w:rPr>
                <w:szCs w:val="21"/>
                <w:u w:val="none"/>
              </w:rPr>
            </w:pPr>
            <w:r>
              <w:rPr>
                <w:rFonts w:hint="eastAsia"/>
                <w:szCs w:val="21"/>
                <w:u w:val="none"/>
              </w:rPr>
              <w:t>公司编制并实施了《</w:t>
            </w:r>
            <w:r>
              <w:rPr>
                <w:rFonts w:hint="eastAsia"/>
                <w:szCs w:val="21"/>
                <w:u w:val="none"/>
                <w:lang w:eastAsia="zh-CN"/>
              </w:rPr>
              <w:t>信息沟通、参与和协商控制程序</w:t>
            </w:r>
            <w:r>
              <w:rPr>
                <w:rFonts w:hint="eastAsia"/>
                <w:szCs w:val="21"/>
                <w:u w:val="none"/>
              </w:rPr>
              <w:t>》，规定了职责、工作流程，包括内部沟通和外部沟通的方法和要求。</w:t>
            </w:r>
          </w:p>
          <w:p>
            <w:pPr>
              <w:spacing w:line="360" w:lineRule="auto"/>
              <w:ind w:firstLine="420" w:firstLineChars="200"/>
              <w:rPr>
                <w:szCs w:val="21"/>
                <w:u w:val="none"/>
              </w:rPr>
            </w:pPr>
            <w:r>
              <w:rPr>
                <w:rFonts w:hint="eastAsia"/>
                <w:szCs w:val="21"/>
                <w:u w:val="none"/>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w:t>
            </w:r>
            <w:r>
              <w:rPr>
                <w:rFonts w:hint="eastAsia"/>
                <w:szCs w:val="21"/>
                <w:u w:val="none"/>
                <w:lang w:eastAsia="zh-CN"/>
              </w:rPr>
              <w:t>办公室</w:t>
            </w:r>
            <w:r>
              <w:rPr>
                <w:rFonts w:hint="eastAsia"/>
                <w:szCs w:val="21"/>
                <w:u w:val="none"/>
              </w:rPr>
              <w:t>统一负责。</w:t>
            </w:r>
          </w:p>
          <w:p>
            <w:pPr>
              <w:spacing w:line="360" w:lineRule="auto"/>
              <w:ind w:firstLine="420" w:firstLineChars="200"/>
              <w:rPr>
                <w:szCs w:val="21"/>
                <w:u w:val="none"/>
              </w:rPr>
            </w:pPr>
            <w:r>
              <w:rPr>
                <w:rFonts w:hint="eastAsia"/>
                <w:szCs w:val="21"/>
                <w:u w:val="none"/>
              </w:rPr>
              <w:t>现场查阅内部交流：方针、目标完成情况、内审和管理评审报告、不符合信息等。</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和员工</w:t>
            </w:r>
            <w:r>
              <w:rPr>
                <w:rFonts w:hint="eastAsia"/>
                <w:szCs w:val="21"/>
                <w:u w:val="none"/>
                <w:lang w:eastAsia="zh-CN"/>
              </w:rPr>
              <w:t>徐中连</w:t>
            </w:r>
            <w:r>
              <w:rPr>
                <w:rFonts w:hint="eastAsia"/>
                <w:szCs w:val="21"/>
                <w:u w:val="none"/>
              </w:rPr>
              <w:t>面谈，知道公司的管理者代表及职业健康安全事务代表。</w:t>
            </w:r>
          </w:p>
          <w:p>
            <w:pPr>
              <w:spacing w:line="360" w:lineRule="auto"/>
              <w:ind w:firstLine="420" w:firstLineChars="200"/>
              <w:rPr>
                <w:rFonts w:hint="eastAsia" w:ascii="Times New Roman" w:hAnsi="Times New Roman" w:eastAsia="宋体" w:cs="Times New Roman"/>
                <w:kern w:val="2"/>
                <w:sz w:val="21"/>
                <w:szCs w:val="21"/>
                <w:u w:val="none"/>
                <w:lang w:val="en-US" w:eastAsia="zh-CN" w:bidi="ar-SA"/>
              </w:rPr>
            </w:pPr>
            <w:r>
              <w:rPr>
                <w:rFonts w:hint="eastAsia"/>
                <w:szCs w:val="21"/>
                <w:u w:val="none"/>
              </w:rPr>
              <w:t>审核周期内未发生因沟通不善造成的的问题。</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成文信息</w:t>
            </w:r>
          </w:p>
          <w:p>
            <w:pPr>
              <w:spacing w:line="360" w:lineRule="auto"/>
              <w:rPr>
                <w:rFonts w:ascii="宋体" w:hAnsi="宋体" w:cs="宋体"/>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QE7.5</w:t>
            </w:r>
          </w:p>
          <w:p>
            <w:pPr>
              <w:spacing w:line="360" w:lineRule="auto"/>
              <w:rPr>
                <w:rFonts w:ascii="宋体" w:hAnsi="宋体" w:cs="宋体"/>
                <w:color w:val="000000"/>
                <w:kern w:val="0"/>
                <w:szCs w:val="21"/>
              </w:rPr>
            </w:pPr>
          </w:p>
        </w:tc>
        <w:tc>
          <w:tcPr>
            <w:tcW w:w="10004" w:type="dxa"/>
            <w:vAlign w:val="center"/>
          </w:tcPr>
          <w:p>
            <w:pPr>
              <w:spacing w:line="360" w:lineRule="auto"/>
              <w:ind w:firstLine="420" w:firstLineChars="200"/>
              <w:rPr>
                <w:szCs w:val="21"/>
              </w:rPr>
            </w:pPr>
            <w:r>
              <w:rPr>
                <w:rFonts w:hint="eastAsia"/>
                <w:szCs w:val="21"/>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spacing w:line="360" w:lineRule="auto"/>
              <w:ind w:firstLine="420" w:firstLineChars="200"/>
              <w:rPr>
                <w:szCs w:val="21"/>
              </w:rPr>
            </w:pPr>
            <w:r>
              <w:rPr>
                <w:rFonts w:hint="eastAsia"/>
                <w:szCs w:val="21"/>
              </w:rPr>
              <w:t>公司文件分类：一级文件：管理手册。</w:t>
            </w:r>
          </w:p>
          <w:p>
            <w:pPr>
              <w:spacing w:line="360" w:lineRule="auto"/>
              <w:ind w:firstLine="420" w:firstLineChars="200"/>
              <w:rPr>
                <w:szCs w:val="21"/>
              </w:rPr>
            </w:pPr>
            <w:r>
              <w:rPr>
                <w:rFonts w:hint="eastAsia"/>
                <w:szCs w:val="21"/>
              </w:rPr>
              <w:t>二级文件：公司编制了程序文件，包括质量、环境、职业健康安全标准要求的所有程序。</w:t>
            </w:r>
          </w:p>
          <w:p>
            <w:pPr>
              <w:spacing w:line="360" w:lineRule="auto"/>
              <w:ind w:firstLine="420" w:firstLineChars="200"/>
              <w:rPr>
                <w:szCs w:val="21"/>
              </w:rPr>
            </w:pPr>
            <w:r>
              <w:rPr>
                <w:rFonts w:hint="eastAsia"/>
                <w:szCs w:val="21"/>
              </w:rPr>
              <w:t>三层次文件：管理制度，外来文件：包括</w:t>
            </w:r>
            <w:r>
              <w:rPr>
                <w:rFonts w:hint="eastAsia"/>
                <w:szCs w:val="21"/>
                <w:lang w:val="en-US" w:eastAsia="zh-CN"/>
              </w:rPr>
              <w:t>抽油泵（节能环保抽油泵，耐磨防腐抽油泵，防砂抽油泵、螺杆式抽油泵，整筒式抽油泵）及配件，螺杆钻具、螺杆泵驱动装置及专用变频控制柜，钻采配件生产管理实施细则等</w:t>
            </w:r>
            <w:r>
              <w:rPr>
                <w:rFonts w:hint="eastAsia"/>
                <w:szCs w:val="21"/>
              </w:rPr>
              <w:t>，环境、职业健康安全及运行记录，满足公司目前的管理体系运行的需要。体系文件基本能保证有效性和效率的要求。</w:t>
            </w:r>
          </w:p>
          <w:p>
            <w:pPr>
              <w:spacing w:line="360" w:lineRule="auto"/>
              <w:ind w:firstLine="420" w:firstLineChars="200"/>
              <w:rPr>
                <w:szCs w:val="21"/>
              </w:rPr>
            </w:pPr>
            <w:r>
              <w:rPr>
                <w:rFonts w:hint="eastAsia"/>
                <w:szCs w:val="21"/>
              </w:rPr>
              <w:t>查公司按照文审要求对管理手册进行了修改，符合要求。</w:t>
            </w:r>
          </w:p>
          <w:p>
            <w:pPr>
              <w:spacing w:line="360" w:lineRule="auto"/>
              <w:ind w:firstLine="420" w:firstLineChars="200"/>
              <w:rPr>
                <w:rFonts w:hint="eastAsia" w:ascii="Times New Roman" w:hAnsi="Times New Roman" w:eastAsia="宋体" w:cs="Times New Roman"/>
                <w:szCs w:val="21"/>
              </w:rPr>
            </w:pPr>
            <w:r>
              <w:rPr>
                <w:rFonts w:hint="eastAsia"/>
                <w:szCs w:val="21"/>
              </w:rPr>
              <w:t>公司编</w:t>
            </w:r>
            <w:r>
              <w:rPr>
                <w:rFonts w:hint="eastAsia" w:ascii="Times New Roman" w:hAnsi="Times New Roman" w:eastAsia="宋体" w:cs="Times New Roman"/>
                <w:szCs w:val="21"/>
              </w:rPr>
              <w:t>制并实施了《文件控制程序》，文件包括：管理手册、程序文件、各种管理制度等。</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无企业标准。</w:t>
            </w:r>
          </w:p>
          <w:p>
            <w:pPr>
              <w:spacing w:line="360" w:lineRule="auto"/>
              <w:ind w:firstLine="420" w:firstLineChars="200"/>
              <w:rPr>
                <w:szCs w:val="21"/>
              </w:rPr>
            </w:pPr>
            <w:r>
              <w:rPr>
                <w:rFonts w:hint="eastAsia"/>
                <w:szCs w:val="21"/>
              </w:rPr>
              <w:t>查管理手册、程序文</w:t>
            </w:r>
            <w:r>
              <w:rPr>
                <w:rFonts w:hint="eastAsia" w:ascii="Times New Roman" w:hAnsi="Times New Roman" w:eastAsia="宋体" w:cs="Times New Roman"/>
                <w:szCs w:val="21"/>
              </w:rPr>
              <w:t>件等文件，编制：文件编制小组，审核：</w:t>
            </w:r>
            <w:r>
              <w:rPr>
                <w:rFonts w:hint="eastAsia" w:cs="Times New Roman"/>
                <w:szCs w:val="21"/>
                <w:lang w:eastAsia="zh-CN"/>
              </w:rPr>
              <w:t>刘敬钦</w:t>
            </w:r>
            <w:r>
              <w:rPr>
                <w:rFonts w:hint="eastAsia"/>
                <w:szCs w:val="21"/>
              </w:rPr>
              <w:t>，批准：</w:t>
            </w:r>
            <w:r>
              <w:rPr>
                <w:rFonts w:hint="eastAsia"/>
                <w:szCs w:val="21"/>
                <w:lang w:eastAsia="zh-CN"/>
              </w:rPr>
              <w:t>赵平</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w:t>
            </w:r>
            <w:r>
              <w:rPr>
                <w:rFonts w:hint="eastAsia"/>
                <w:szCs w:val="21"/>
              </w:rPr>
              <w:t>日，查文件编审批手续齐全、文件清晰、编号符合文件控制程序要求。查</w:t>
            </w:r>
            <w:r>
              <w:rPr>
                <w:rFonts w:hint="eastAsia"/>
                <w:szCs w:val="21"/>
                <w:lang w:eastAsia="zh-CN"/>
              </w:rPr>
              <w:t>办公室</w:t>
            </w:r>
            <w:r>
              <w:rPr>
                <w:rFonts w:hint="eastAsia"/>
                <w:szCs w:val="21"/>
              </w:rPr>
              <w:t>文件，都有受控标识，有效版本。</w:t>
            </w:r>
          </w:p>
          <w:p>
            <w:pPr>
              <w:spacing w:line="360" w:lineRule="auto"/>
              <w:ind w:firstLine="420" w:firstLineChars="200"/>
              <w:rPr>
                <w:b/>
                <w:bCs/>
                <w:color w:val="FF0000"/>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w:t>
            </w:r>
          </w:p>
          <w:p>
            <w:pPr>
              <w:spacing w:line="360" w:lineRule="auto"/>
              <w:ind w:firstLine="420" w:firstLineChars="200"/>
              <w:rPr>
                <w:szCs w:val="21"/>
              </w:rPr>
            </w:pPr>
            <w:r>
              <w:rPr>
                <w:rFonts w:hint="eastAsia"/>
                <w:szCs w:val="21"/>
              </w:rPr>
              <w:t>查文件发放：</w:t>
            </w:r>
            <w:r>
              <w:rPr>
                <w:rFonts w:hint="eastAsia"/>
                <w:szCs w:val="21"/>
                <w:lang w:eastAsia="zh-CN"/>
              </w:rPr>
              <w:t>办公室</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w:t>
            </w:r>
            <w:r>
              <w:rPr>
                <w:rFonts w:hint="eastAsia"/>
                <w:szCs w:val="21"/>
              </w:rPr>
              <w:t>日下发了管理手册、程序文件、管理制度汇编等文件</w:t>
            </w:r>
            <w:r>
              <w:rPr>
                <w:rFonts w:hint="eastAsia"/>
                <w:szCs w:val="21"/>
                <w:lang w:eastAsia="zh-CN"/>
              </w:rPr>
              <w:t>，</w:t>
            </w:r>
            <w:r>
              <w:rPr>
                <w:rFonts w:hint="eastAsia"/>
                <w:szCs w:val="21"/>
                <w:lang w:val="en-US" w:eastAsia="zh-CN"/>
              </w:rPr>
              <w:t>并回收了旧版文件</w:t>
            </w:r>
            <w:r>
              <w:rPr>
                <w:rFonts w:hint="eastAsia"/>
                <w:szCs w:val="21"/>
              </w:rPr>
              <w:t>。</w:t>
            </w:r>
          </w:p>
          <w:p>
            <w:pPr>
              <w:spacing w:line="360" w:lineRule="auto"/>
              <w:ind w:firstLine="420" w:firstLineChars="200"/>
              <w:rPr>
                <w:szCs w:val="21"/>
              </w:rPr>
            </w:pPr>
            <w:r>
              <w:rPr>
                <w:rFonts w:hint="eastAsia"/>
                <w:szCs w:val="21"/>
              </w:rPr>
              <w:t>查</w:t>
            </w:r>
            <w:r>
              <w:rPr>
                <w:rFonts w:hint="eastAsia"/>
                <w:szCs w:val="21"/>
                <w:lang w:eastAsia="zh-CN"/>
              </w:rPr>
              <w:t>办公室</w:t>
            </w:r>
            <w:r>
              <w:rPr>
                <w:rFonts w:hint="eastAsia"/>
                <w:szCs w:val="21"/>
              </w:rPr>
              <w:t>文件有标识，检索方便，文件夹存放于文件柜内，防护符合要求。</w:t>
            </w:r>
          </w:p>
          <w:p>
            <w:pPr>
              <w:spacing w:line="360" w:lineRule="auto"/>
              <w:ind w:firstLine="420" w:firstLineChars="200"/>
              <w:rPr>
                <w:szCs w:val="21"/>
              </w:rPr>
            </w:pPr>
            <w:r>
              <w:rPr>
                <w:rFonts w:hint="eastAsia"/>
                <w:szCs w:val="21"/>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w:t>
            </w:r>
            <w:r>
              <w:rPr>
                <w:rFonts w:hint="eastAsia"/>
                <w:szCs w:val="21"/>
                <w:lang w:eastAsia="zh-CN"/>
              </w:rPr>
              <w:t>办公室</w:t>
            </w:r>
            <w:r>
              <w:rPr>
                <w:rFonts w:hint="eastAsia"/>
                <w:szCs w:val="21"/>
              </w:rPr>
              <w:t>保存的记录环境情况，归档文件、记录存放于通风、干燥、防蛀的文件柜内，环境干燥、通风，符合文件归档的要求。</w:t>
            </w:r>
          </w:p>
          <w:p>
            <w:pPr>
              <w:spacing w:line="360" w:lineRule="auto"/>
              <w:ind w:firstLine="420" w:firstLineChars="200"/>
              <w:rPr>
                <w:szCs w:val="21"/>
              </w:rPr>
            </w:pPr>
            <w:r>
              <w:rPr>
                <w:rFonts w:hint="eastAsia"/>
                <w:szCs w:val="21"/>
              </w:rPr>
              <w:t>抽查归档文件整理情况，</w:t>
            </w:r>
            <w:r>
              <w:rPr>
                <w:rFonts w:hint="eastAsia"/>
                <w:szCs w:val="21"/>
                <w:lang w:eastAsia="zh-CN"/>
              </w:rPr>
              <w:t>办公室</w:t>
            </w:r>
            <w:r>
              <w:rPr>
                <w:rFonts w:hint="eastAsia"/>
                <w:szCs w:val="21"/>
              </w:rPr>
              <w:t>已将文件进行了分类，按文件的名称、编号及时间装文件袋进行归档，文件较清洁，字迹清晰，检索方便，抽查有内部审核资料、管理评审资料等，均已装订成册。</w:t>
            </w:r>
          </w:p>
          <w:p>
            <w:pPr>
              <w:spacing w:line="360" w:lineRule="auto"/>
              <w:ind w:firstLine="420" w:firstLineChars="200"/>
              <w:rPr>
                <w:szCs w:val="21"/>
              </w:rPr>
            </w:pPr>
            <w:r>
              <w:rPr>
                <w:rFonts w:hint="eastAsia"/>
                <w:szCs w:val="21"/>
              </w:rPr>
              <w:t>外来记录（如顾客投诉记录等）由相关部门负责保管、归档。</w:t>
            </w:r>
          </w:p>
          <w:p>
            <w:pPr>
              <w:spacing w:line="360" w:lineRule="auto"/>
              <w:ind w:firstLine="420" w:firstLineChars="200"/>
              <w:rPr>
                <w:szCs w:val="21"/>
              </w:rPr>
            </w:pPr>
            <w:r>
              <w:rPr>
                <w:rFonts w:hint="eastAsia"/>
                <w:szCs w:val="21"/>
              </w:rPr>
              <w:t>原件记录原则上不外借，其它记录查阅时须有关部门同意后，方可查阅。</w:t>
            </w:r>
          </w:p>
          <w:p>
            <w:pPr>
              <w:spacing w:line="360" w:lineRule="auto"/>
              <w:ind w:firstLine="420" w:firstLineChars="200"/>
              <w:rPr>
                <w:szCs w:val="21"/>
              </w:rPr>
            </w:pPr>
            <w:r>
              <w:rPr>
                <w:rFonts w:hint="eastAsia"/>
                <w:szCs w:val="21"/>
              </w:rPr>
              <w:t>记录控制基本有效。</w:t>
            </w:r>
          </w:p>
        </w:tc>
        <w:tc>
          <w:tcPr>
            <w:tcW w:w="1585" w:type="dxa"/>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hint="eastAsia" w:ascii="宋体" w:hAnsi="宋体" w:eastAsia="宋体" w:cs="宋体"/>
                <w:szCs w:val="21"/>
                <w:lang w:eastAsia="zh-CN"/>
              </w:rPr>
            </w:pPr>
            <w:r>
              <w:rPr>
                <w:rFonts w:hint="eastAsia" w:ascii="宋体" w:hAnsi="宋体" w:cs="Arial"/>
                <w:sz w:val="21"/>
                <w:szCs w:val="21"/>
              </w:rPr>
              <w:t>分析与评价</w:t>
            </w:r>
          </w:p>
        </w:tc>
        <w:tc>
          <w:tcPr>
            <w:tcW w:w="998" w:type="dxa"/>
          </w:tcPr>
          <w:p>
            <w:pPr>
              <w:spacing w:line="360" w:lineRule="auto"/>
              <w:rPr>
                <w:rFonts w:hint="default" w:ascii="宋体" w:hAnsi="宋体" w:eastAsia="宋体" w:cs="宋体"/>
                <w:szCs w:val="21"/>
                <w:lang w:val="en-US" w:eastAsia="zh-CN"/>
              </w:rPr>
            </w:pPr>
            <w:r>
              <w:rPr>
                <w:rFonts w:hint="eastAsia" w:ascii="宋体" w:hAnsi="宋体" w:eastAsia="宋体" w:cs="宋体"/>
                <w:szCs w:val="21"/>
                <w:lang w:eastAsia="zh-CN"/>
              </w:rPr>
              <w:t>Q9.1.</w:t>
            </w:r>
            <w:r>
              <w:rPr>
                <w:rFonts w:hint="eastAsia" w:ascii="宋体" w:hAnsi="宋体" w:eastAsia="宋体" w:cs="宋体"/>
                <w:szCs w:val="21"/>
                <w:lang w:val="en-US" w:eastAsia="zh-CN"/>
              </w:rPr>
              <w:t>3</w:t>
            </w:r>
          </w:p>
        </w:tc>
        <w:tc>
          <w:tcPr>
            <w:tcW w:w="10004"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经查：部门根据监视和测量获得的数据和信息，组织相关部门进行了分析评价。包括：对公司及各部门质量目标完成情见进行分析，确定</w:t>
            </w:r>
            <w:r>
              <w:rPr>
                <w:rFonts w:hint="eastAsia" w:ascii="宋体" w:hAnsi="宋体"/>
                <w:sz w:val="21"/>
                <w:szCs w:val="21"/>
                <w:lang w:val="en-US" w:eastAsia="zh-CN"/>
              </w:rPr>
              <w:t>管理</w:t>
            </w:r>
            <w:r>
              <w:rPr>
                <w:rFonts w:hint="eastAsia" w:ascii="宋体" w:hAnsi="宋体"/>
                <w:sz w:val="21"/>
                <w:szCs w:val="21"/>
              </w:rPr>
              <w:t>体系运行状况（见管理评审输入）；对顾客满意有关的信息进行了分析，以确定顾客满意程度（见</w:t>
            </w:r>
            <w:r>
              <w:rPr>
                <w:rFonts w:hint="eastAsia" w:ascii="宋体" w:hAnsi="宋体"/>
                <w:sz w:val="21"/>
                <w:szCs w:val="21"/>
                <w:lang w:val="en-US" w:eastAsia="zh-CN"/>
              </w:rPr>
              <w:t>运营管理</w:t>
            </w:r>
            <w:r>
              <w:rPr>
                <w:rFonts w:hint="eastAsia" w:ascii="宋体" w:hAnsi="宋体"/>
                <w:sz w:val="21"/>
                <w:szCs w:val="21"/>
                <w:lang w:eastAsia="zh-CN"/>
              </w:rPr>
              <w:t>部</w:t>
            </w:r>
            <w:r>
              <w:rPr>
                <w:rFonts w:hint="eastAsia" w:ascii="宋体" w:hAnsi="宋体"/>
                <w:sz w:val="21"/>
                <w:szCs w:val="21"/>
              </w:rPr>
              <w:t>9.1.2）；</w:t>
            </w:r>
          </w:p>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对内部审核的有关信息和应对风险措施的有效性进行分析，以确定</w:t>
            </w:r>
            <w:r>
              <w:rPr>
                <w:rFonts w:hint="eastAsia" w:ascii="宋体" w:hAnsi="宋体"/>
                <w:sz w:val="21"/>
                <w:szCs w:val="21"/>
                <w:lang w:val="en-US" w:eastAsia="zh-CN"/>
              </w:rPr>
              <w:t>管理</w:t>
            </w:r>
            <w:r>
              <w:rPr>
                <w:rFonts w:hint="eastAsia" w:ascii="宋体" w:hAnsi="宋体"/>
                <w:sz w:val="21"/>
                <w:szCs w:val="21"/>
              </w:rPr>
              <w:t>管理体系的有效性（见</w:t>
            </w:r>
            <w:r>
              <w:rPr>
                <w:rFonts w:hint="eastAsia" w:ascii="宋体" w:hAnsi="宋体"/>
                <w:sz w:val="21"/>
                <w:szCs w:val="21"/>
                <w:lang w:val="en-US" w:eastAsia="zh-CN"/>
              </w:rPr>
              <w:t>办公室</w:t>
            </w:r>
            <w:r>
              <w:rPr>
                <w:rFonts w:hint="eastAsia" w:ascii="宋体" w:hAnsi="宋体"/>
                <w:sz w:val="21"/>
                <w:szCs w:val="21"/>
              </w:rPr>
              <w:t>9.2）。</w:t>
            </w:r>
          </w:p>
          <w:p>
            <w:pPr>
              <w:spacing w:line="360" w:lineRule="auto"/>
              <w:ind w:firstLine="420" w:firstLineChars="200"/>
              <w:rPr>
                <w:rFonts w:hint="eastAsia" w:ascii="宋体" w:hAnsi="宋体" w:cs="宋体"/>
                <w:sz w:val="21"/>
                <w:szCs w:val="21"/>
                <w:lang w:eastAsia="zh-CN"/>
              </w:rPr>
            </w:pPr>
            <w:r>
              <w:rPr>
                <w:rFonts w:hint="eastAsia" w:ascii="宋体" w:hAnsi="宋体"/>
                <w:sz w:val="21"/>
                <w:szCs w:val="21"/>
              </w:rPr>
              <w:t>部门在汇总以上分析结果的基础上，分析针对风险和机遇所采取措施的有效性，积极寻找</w:t>
            </w:r>
            <w:r>
              <w:rPr>
                <w:rFonts w:hint="eastAsia" w:ascii="宋体" w:hAnsi="宋体"/>
                <w:sz w:val="21"/>
                <w:szCs w:val="21"/>
                <w:lang w:val="en-US" w:eastAsia="zh-CN"/>
              </w:rPr>
              <w:t>管理</w:t>
            </w:r>
            <w:r>
              <w:rPr>
                <w:rFonts w:hint="eastAsia" w:ascii="宋体" w:hAnsi="宋体"/>
                <w:sz w:val="21"/>
                <w:szCs w:val="21"/>
              </w:rPr>
              <w:t>管理体系持续改进的机会，通过管理评审会议的改进决策进行</w:t>
            </w:r>
            <w:r>
              <w:rPr>
                <w:rFonts w:hint="eastAsia" w:ascii="宋体" w:hAnsi="宋体"/>
                <w:sz w:val="21"/>
                <w:szCs w:val="21"/>
                <w:lang w:val="en-US" w:eastAsia="zh-CN"/>
              </w:rPr>
              <w:t>管理</w:t>
            </w:r>
            <w:r>
              <w:rPr>
                <w:rFonts w:hint="eastAsia" w:ascii="宋体" w:hAnsi="宋体"/>
                <w:sz w:val="21"/>
                <w:szCs w:val="21"/>
              </w:rPr>
              <w:t>管理体系的持续改进（见相关部门检查表）。</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E10D2"/>
    <w:multiLevelType w:val="multilevel"/>
    <w:tmpl w:val="77AE10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272E3"/>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56977"/>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63C7E"/>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20129FE"/>
    <w:rsid w:val="021522E9"/>
    <w:rsid w:val="044B7AFE"/>
    <w:rsid w:val="051729C7"/>
    <w:rsid w:val="056D41CE"/>
    <w:rsid w:val="0A755CD1"/>
    <w:rsid w:val="0C625E1B"/>
    <w:rsid w:val="0EC6526F"/>
    <w:rsid w:val="10CC15C0"/>
    <w:rsid w:val="11200350"/>
    <w:rsid w:val="113D29BF"/>
    <w:rsid w:val="11B844E6"/>
    <w:rsid w:val="129057E6"/>
    <w:rsid w:val="12F34AEF"/>
    <w:rsid w:val="12FD2E93"/>
    <w:rsid w:val="14B90815"/>
    <w:rsid w:val="14CE341E"/>
    <w:rsid w:val="158E45BA"/>
    <w:rsid w:val="163E2E11"/>
    <w:rsid w:val="176A4559"/>
    <w:rsid w:val="1A5D4ABC"/>
    <w:rsid w:val="1A822FA7"/>
    <w:rsid w:val="1B3936B3"/>
    <w:rsid w:val="1BE846E9"/>
    <w:rsid w:val="1D4C4E60"/>
    <w:rsid w:val="1DC40F3E"/>
    <w:rsid w:val="1E17525C"/>
    <w:rsid w:val="1E4D12B6"/>
    <w:rsid w:val="1EED5939"/>
    <w:rsid w:val="241F7435"/>
    <w:rsid w:val="24EE4865"/>
    <w:rsid w:val="26C41E1E"/>
    <w:rsid w:val="26EB66E8"/>
    <w:rsid w:val="29545097"/>
    <w:rsid w:val="2A965859"/>
    <w:rsid w:val="31553C92"/>
    <w:rsid w:val="315A769F"/>
    <w:rsid w:val="328D0D90"/>
    <w:rsid w:val="32B3737A"/>
    <w:rsid w:val="332F6E2E"/>
    <w:rsid w:val="34C52C58"/>
    <w:rsid w:val="35635C60"/>
    <w:rsid w:val="35655683"/>
    <w:rsid w:val="36106290"/>
    <w:rsid w:val="366131A6"/>
    <w:rsid w:val="36BE5965"/>
    <w:rsid w:val="38CE76F2"/>
    <w:rsid w:val="38E44796"/>
    <w:rsid w:val="391D226E"/>
    <w:rsid w:val="399F2547"/>
    <w:rsid w:val="39DF646A"/>
    <w:rsid w:val="3B4618DA"/>
    <w:rsid w:val="3E676E01"/>
    <w:rsid w:val="3ED56DC4"/>
    <w:rsid w:val="3FC72C4C"/>
    <w:rsid w:val="4074648A"/>
    <w:rsid w:val="42684491"/>
    <w:rsid w:val="45060F3E"/>
    <w:rsid w:val="47432516"/>
    <w:rsid w:val="479F541D"/>
    <w:rsid w:val="47AB2FC0"/>
    <w:rsid w:val="47D469F7"/>
    <w:rsid w:val="47D502FD"/>
    <w:rsid w:val="48012986"/>
    <w:rsid w:val="4913714F"/>
    <w:rsid w:val="49465A9C"/>
    <w:rsid w:val="4A95487A"/>
    <w:rsid w:val="4C7E4A49"/>
    <w:rsid w:val="4D6709DF"/>
    <w:rsid w:val="4DED56EF"/>
    <w:rsid w:val="4EF0704D"/>
    <w:rsid w:val="4F3B0425"/>
    <w:rsid w:val="51816C5F"/>
    <w:rsid w:val="53BC11C5"/>
    <w:rsid w:val="5493123C"/>
    <w:rsid w:val="56650644"/>
    <w:rsid w:val="56881D3B"/>
    <w:rsid w:val="57C66E86"/>
    <w:rsid w:val="57D815F2"/>
    <w:rsid w:val="592C22FA"/>
    <w:rsid w:val="5CEC63BD"/>
    <w:rsid w:val="5D502239"/>
    <w:rsid w:val="5E177A89"/>
    <w:rsid w:val="5E8414C5"/>
    <w:rsid w:val="62E8549C"/>
    <w:rsid w:val="639A03A2"/>
    <w:rsid w:val="63D305A2"/>
    <w:rsid w:val="65C94933"/>
    <w:rsid w:val="66047BEC"/>
    <w:rsid w:val="66B77DFD"/>
    <w:rsid w:val="66E749FE"/>
    <w:rsid w:val="67500C85"/>
    <w:rsid w:val="684313BC"/>
    <w:rsid w:val="689D56E8"/>
    <w:rsid w:val="690E7415"/>
    <w:rsid w:val="693E7AF0"/>
    <w:rsid w:val="697C4C83"/>
    <w:rsid w:val="69F51D33"/>
    <w:rsid w:val="6A151605"/>
    <w:rsid w:val="6B1F20DA"/>
    <w:rsid w:val="6B8345B9"/>
    <w:rsid w:val="6BAB1F7A"/>
    <w:rsid w:val="6CFD42CE"/>
    <w:rsid w:val="6E3312F4"/>
    <w:rsid w:val="6FC67861"/>
    <w:rsid w:val="70F12CCB"/>
    <w:rsid w:val="711D594D"/>
    <w:rsid w:val="71637404"/>
    <w:rsid w:val="723164F6"/>
    <w:rsid w:val="72DA6CFE"/>
    <w:rsid w:val="73371E1F"/>
    <w:rsid w:val="7367290E"/>
    <w:rsid w:val="73C01D14"/>
    <w:rsid w:val="747D06DB"/>
    <w:rsid w:val="752D00F5"/>
    <w:rsid w:val="76B43CA8"/>
    <w:rsid w:val="789B5077"/>
    <w:rsid w:val="79F9658E"/>
    <w:rsid w:val="7A172C96"/>
    <w:rsid w:val="7A3F072B"/>
    <w:rsid w:val="7A695463"/>
    <w:rsid w:val="7AB34E8A"/>
    <w:rsid w:val="7AD237C2"/>
    <w:rsid w:val="7BC807EB"/>
    <w:rsid w:val="7BDB0938"/>
    <w:rsid w:val="7F68387A"/>
    <w:rsid w:val="7FD942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paragraph" w:styleId="14">
    <w:name w:val="List Paragraph"/>
    <w:basedOn w:val="1"/>
    <w:qFormat/>
    <w:uiPriority w:val="99"/>
    <w:pPr>
      <w:ind w:firstLine="420" w:firstLineChars="200"/>
    </w:pPr>
  </w:style>
  <w:style w:type="paragraph" w:customStyle="1" w:styleId="15">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64</TotalTime>
  <ScaleCrop>false</ScaleCrop>
  <LinksUpToDate>false</LinksUpToDate>
  <CharactersWithSpaces>5211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郭力</cp:lastModifiedBy>
  <dcterms:modified xsi:type="dcterms:W3CDTF">2021-03-23T03:36:07Z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