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胡宝根          </w:t>
            </w:r>
            <w:r>
              <w:rPr>
                <w:rFonts w:hint="eastAsia"/>
                <w:sz w:val="24"/>
                <w:szCs w:val="24"/>
              </w:rPr>
              <w:t>陪同</w:t>
            </w:r>
            <w:r>
              <w:rPr>
                <w:rFonts w:hint="eastAsia"/>
                <w:sz w:val="24"/>
                <w:szCs w:val="24"/>
                <w:highlight w:val="none"/>
              </w:rPr>
              <w:t>人员</w:t>
            </w:r>
            <w:r>
              <w:rPr>
                <w:rFonts w:hint="eastAsia"/>
                <w:sz w:val="24"/>
                <w:szCs w:val="24"/>
                <w:highlight w:val="none"/>
                <w:lang w:eastAsia="zh-CN"/>
              </w:rPr>
              <w:t>：</w:t>
            </w:r>
            <w:r>
              <w:rPr>
                <w:rFonts w:hint="eastAsia"/>
                <w:sz w:val="24"/>
                <w:szCs w:val="24"/>
                <w:highlight w:val="none"/>
                <w:lang w:val="en-US" w:eastAsia="zh-CN"/>
              </w:rPr>
              <w:t>解寿涛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w:t>
            </w:r>
            <w:r>
              <w:rPr>
                <w:rFonts w:hint="eastAsia"/>
                <w:sz w:val="24"/>
                <w:szCs w:val="24"/>
              </w:rPr>
              <w:t>审核时间：</w:t>
            </w:r>
            <w:r>
              <w:rPr>
                <w:rFonts w:hint="eastAsia"/>
                <w:sz w:val="24"/>
                <w:szCs w:val="24"/>
                <w:lang w:val="en-US" w:eastAsia="zh-CN"/>
              </w:rPr>
              <w:t>2021.3.23   9:00-11:00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:4.1/</w:t>
            </w:r>
            <w:r>
              <w:rPr>
                <w:rFonts w:hint="eastAsia"/>
                <w:b/>
                <w:bCs/>
                <w:sz w:val="21"/>
                <w:szCs w:val="21"/>
                <w:lang w:val="en-US" w:eastAsia="zh-CN"/>
              </w:rPr>
              <w:t>4.2/</w:t>
            </w:r>
            <w:r>
              <w:rPr>
                <w:rFonts w:hint="eastAsia"/>
                <w:b/>
                <w:bCs/>
                <w:sz w:val="21"/>
                <w:szCs w:val="21"/>
              </w:rPr>
              <w:t>4.3/4.4/5.1/5.2/5.3/6.1/6.2/7.1</w:t>
            </w:r>
            <w:r>
              <w:rPr>
                <w:rFonts w:hint="eastAsia"/>
                <w:b/>
                <w:bCs/>
                <w:sz w:val="21"/>
                <w:szCs w:val="21"/>
                <w:lang w:val="en-US" w:eastAsia="zh-CN"/>
              </w:rPr>
              <w:t>/</w:t>
            </w:r>
            <w:r>
              <w:rPr>
                <w:rFonts w:hint="eastAsia"/>
                <w:b/>
                <w:bCs/>
                <w:sz w:val="21"/>
                <w:szCs w:val="21"/>
              </w:rPr>
              <w:t>9.3</w:t>
            </w:r>
            <w:r>
              <w:rPr>
                <w:rFonts w:hint="eastAsia"/>
                <w:b/>
                <w:bCs/>
                <w:sz w:val="21"/>
                <w:szCs w:val="21"/>
                <w:lang w:val="en-US" w:eastAsia="zh-CN"/>
              </w:rPr>
              <w:t>/10.1/10.3（En10.2）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sz w:val="21"/>
                <w:szCs w:val="21"/>
              </w:rPr>
              <w:t>管理体系策划情况，过程识别和策划的充分性（包括外包过程）</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:4.1/</w:t>
            </w:r>
            <w:r>
              <w:rPr>
                <w:rFonts w:hint="eastAsia"/>
                <w:b/>
                <w:bCs/>
                <w:sz w:val="21"/>
                <w:szCs w:val="21"/>
                <w:lang w:val="en-US" w:eastAsia="zh-CN"/>
              </w:rPr>
              <w:t>4.2/</w:t>
            </w:r>
            <w:r>
              <w:rPr>
                <w:rFonts w:hint="eastAsia"/>
                <w:b/>
                <w:bCs/>
                <w:sz w:val="21"/>
                <w:szCs w:val="21"/>
              </w:rPr>
              <w:t>4.4</w:t>
            </w:r>
          </w:p>
        </w:tc>
        <w:tc>
          <w:tcPr>
            <w:tcW w:w="10004" w:type="dxa"/>
          </w:tcPr>
          <w:p>
            <w:pPr>
              <w:keepNext w:val="0"/>
              <w:keepLines w:val="0"/>
              <w:pageBreakBefore w:val="0"/>
              <w:widowControl w:val="0"/>
              <w:kinsoku/>
              <w:wordWrap/>
              <w:overflowPunct/>
              <w:topLinePunct w:val="0"/>
              <w:autoSpaceDE/>
              <w:autoSpaceDN/>
              <w:bidi w:val="0"/>
              <w:snapToGrid/>
              <w:spacing w:before="157" w:beforeLines="50" w:line="240" w:lineRule="auto"/>
              <w:rPr>
                <w:rFonts w:hint="default"/>
                <w:lang w:val="en-US" w:eastAsia="zh-CN"/>
              </w:rPr>
            </w:pPr>
            <w:r>
              <w:rPr>
                <w:rFonts w:hint="eastAsia"/>
                <w:lang w:val="en-US" w:eastAsia="zh-CN"/>
              </w:rPr>
              <w:t>主要生产围巾、丝巾的生产，也在扩大建设规模。</w:t>
            </w:r>
          </w:p>
          <w:p>
            <w:pPr>
              <w:keepNext w:val="0"/>
              <w:keepLines w:val="0"/>
              <w:pageBreakBefore w:val="0"/>
              <w:widowControl w:val="0"/>
              <w:kinsoku/>
              <w:wordWrap/>
              <w:overflowPunct/>
              <w:topLinePunct w:val="0"/>
              <w:autoSpaceDE/>
              <w:autoSpaceDN/>
              <w:bidi w:val="0"/>
              <w:snapToGrid/>
              <w:spacing w:before="157" w:beforeLines="50" w:line="240" w:lineRule="auto"/>
              <w:rPr>
                <w:rFonts w:hint="default"/>
                <w:lang w:val="en-US" w:eastAsia="zh-CN"/>
              </w:rPr>
            </w:pPr>
            <w:r>
              <w:rPr>
                <w:rFonts w:hint="eastAsia"/>
                <w:lang w:val="en-US" w:eastAsia="zh-CN"/>
              </w:rPr>
              <w:t>该公司策划了《浙江华艺盛纺织股份有公司质量、环境、职业健康安全管理体系管理手册》（ HYS-QEO-MC-2020）、《浙江华艺盛纺织股份有限公司 质量、环境、职业健康安全管理体系程序文件汇编》（A版0次）并于2020年10月9日发布实施；策划了《浙江华艺盛纺织股份有公司ISO50001-2018能源管理体系管理手册》及相应的程序文件，并于2020年5月6日发布实施。</w:t>
            </w:r>
          </w:p>
          <w:p>
            <w:pPr>
              <w:pStyle w:val="2"/>
              <w:keepNext w:val="0"/>
              <w:keepLines w:val="0"/>
              <w:pageBreakBefore w:val="0"/>
              <w:widowControl w:val="0"/>
              <w:numPr>
                <w:ilvl w:val="1"/>
                <w:numId w:val="0"/>
              </w:numPr>
              <w:kinsoku/>
              <w:wordWrap/>
              <w:overflowPunct/>
              <w:topLinePunct w:val="0"/>
              <w:autoSpaceDE/>
              <w:autoSpaceDN/>
              <w:bidi w:val="0"/>
              <w:snapToGrid/>
              <w:spacing w:before="157" w:beforeLines="50" w:line="240" w:lineRule="auto"/>
              <w:ind w:leftChars="0"/>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任命姚云峰为QEOEn管理体系的管理者代表，任命吕小华为工作人员代表并履行相关职责。</w:t>
            </w:r>
          </w:p>
          <w:p>
            <w:pPr>
              <w:pStyle w:val="2"/>
              <w:keepNext w:val="0"/>
              <w:keepLines w:val="0"/>
              <w:pageBreakBefore w:val="0"/>
              <w:widowControl w:val="0"/>
              <w:numPr>
                <w:ilvl w:val="1"/>
                <w:numId w:val="0"/>
              </w:numPr>
              <w:kinsoku/>
              <w:wordWrap/>
              <w:overflowPunct/>
              <w:topLinePunct w:val="0"/>
              <w:autoSpaceDE/>
              <w:autoSpaceDN/>
              <w:bidi w:val="0"/>
              <w:snapToGrid/>
              <w:spacing w:before="157" w:beforeLines="50" w:line="240" w:lineRule="auto"/>
              <w:ind w:left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质量、环境、职业健康安全管理体系和能源管理体系均已按照标准的要求进行了内外部环境、相关方的识别，考虑了质量、环境、职业健康安全管理体系和能源管理体系的管理过程，符合要求。</w:t>
            </w:r>
          </w:p>
          <w:p>
            <w:pPr>
              <w:pStyle w:val="2"/>
              <w:keepNext w:val="0"/>
              <w:keepLines w:val="0"/>
              <w:pageBreakBefore w:val="0"/>
              <w:widowControl w:val="0"/>
              <w:numPr>
                <w:ilvl w:val="1"/>
                <w:numId w:val="0"/>
              </w:numPr>
              <w:kinsoku/>
              <w:wordWrap/>
              <w:overflowPunct/>
              <w:topLinePunct w:val="0"/>
              <w:autoSpaceDE/>
              <w:autoSpaceDN/>
              <w:bidi w:val="0"/>
              <w:snapToGrid/>
              <w:spacing w:before="157" w:beforeLines="50" w:line="240" w:lineRule="auto"/>
              <w:ind w:leftChars="0"/>
              <w:rPr>
                <w:rFonts w:hint="default"/>
                <w:lang w:val="en-US" w:eastAsia="zh-CN"/>
              </w:rPr>
            </w:pPr>
            <w:r>
              <w:rPr>
                <w:rFonts w:hint="eastAsia" w:ascii="Times New Roman" w:hAnsi="Times New Roman" w:eastAsia="宋体" w:cs="Times New Roman"/>
                <w:kern w:val="2"/>
                <w:sz w:val="21"/>
                <w:szCs w:val="22"/>
                <w:lang w:val="en-US" w:eastAsia="zh-CN" w:bidi="ar-SA"/>
              </w:rPr>
              <w:t>提供：内部和外部环境识别评价表，并</w:t>
            </w:r>
            <w:r>
              <w:rPr>
                <w:rFonts w:hint="eastAsia" w:ascii="Times New Roman" w:hAnsi="Times New Roman" w:eastAsia="宋体" w:cs="Times New Roman"/>
                <w:color w:val="auto"/>
                <w:kern w:val="2"/>
                <w:sz w:val="21"/>
                <w:szCs w:val="22"/>
                <w:lang w:val="en-US" w:eastAsia="zh-CN" w:bidi="ar-SA"/>
              </w:rPr>
              <w:t>确定了相关方需求清单。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r>
              <w:rPr>
                <w:rFonts w:hint="eastAsia"/>
                <w:sz w:val="21"/>
                <w:szCs w:val="21"/>
              </w:rPr>
              <w:t>确定认证范围包括任何不适用及理由的充分性</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:4.3</w:t>
            </w: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lang w:val="en-US" w:eastAsia="zh-CN"/>
              </w:rPr>
              <w:t>企业的质量、环境、职业健康安全管理体系明确了手册覆盖的范围是</w:t>
            </w:r>
            <w:r>
              <w:rPr>
                <w:rFonts w:hint="eastAsia"/>
              </w:rPr>
              <w:t>：位于湖州市南浔区石淙镇镇西工业区588号的浙江华艺盛纺织股份有限公司的胚</w:t>
            </w:r>
            <w:r>
              <w:rPr>
                <w:rFonts w:hint="eastAsia" w:ascii="Times New Roman" w:hAnsi="Times New Roman" w:eastAsia="宋体" w:cs="Times New Roman"/>
                <w:szCs w:val="22"/>
                <w:lang w:val="en-US" w:eastAsia="zh-CN"/>
              </w:rPr>
              <w:t>布、围巾、丝巾的设计、生产和服务及相关活动。</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能源管理体系明确了</w:t>
            </w:r>
            <w:r>
              <w:rPr>
                <w:rFonts w:hint="eastAsia"/>
                <w:lang w:val="en-US" w:eastAsia="zh-CN"/>
              </w:rPr>
              <w:t>手册覆盖</w:t>
            </w:r>
            <w:r>
              <w:rPr>
                <w:rFonts w:hint="eastAsia" w:ascii="Times New Roman" w:hAnsi="Times New Roman" w:eastAsia="宋体" w:cs="Times New Roman"/>
                <w:szCs w:val="22"/>
                <w:lang w:val="en-US" w:eastAsia="zh-CN"/>
              </w:rPr>
              <w:t>的范围是：位于浙江省湖州市南浔区石淙镇镇西工业区588号浙江华艺盛纺织股份有限公司的：围巾用面料的制造及相关能源管理活动。</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lang w:val="en-US" w:eastAsia="zh-CN"/>
              </w:rPr>
            </w:pPr>
            <w:r>
              <w:rPr>
                <w:rFonts w:hint="eastAsia" w:ascii="Times New Roman" w:hAnsi="Times New Roman" w:eastAsia="宋体" w:cs="Times New Roman"/>
                <w:szCs w:val="22"/>
                <w:lang w:val="en-US" w:eastAsia="zh-CN"/>
              </w:rPr>
              <w:t>与本次审核任务书下达一致。符合要求。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r>
              <w:rPr>
                <w:rFonts w:hint="eastAsia"/>
                <w:sz w:val="21"/>
                <w:szCs w:val="21"/>
              </w:rPr>
              <w:t>组织机构领导承诺及职责权限</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:5.1/5.3</w:t>
            </w:r>
          </w:p>
        </w:tc>
        <w:tc>
          <w:tcPr>
            <w:tcW w:w="10004" w:type="dxa"/>
          </w:tcPr>
          <w:p>
            <w:pPr>
              <w:keepNext w:val="0"/>
              <w:keepLines w:val="0"/>
              <w:pageBreakBefore w:val="0"/>
              <w:widowControl w:val="0"/>
              <w:kinsoku/>
              <w:wordWrap/>
              <w:overflowPunct/>
              <w:topLinePunct w:val="0"/>
              <w:autoSpaceDE/>
              <w:autoSpaceDN/>
              <w:bidi w:val="0"/>
              <w:snapToGrid/>
              <w:spacing w:before="157" w:beforeLines="50" w:line="240" w:lineRule="auto"/>
              <w:rPr>
                <w:rFonts w:hint="eastAsia"/>
                <w:lang w:val="en-US" w:eastAsia="zh-CN"/>
              </w:rPr>
            </w:pPr>
            <w:r>
              <w:rPr>
                <w:rFonts w:hint="eastAsia"/>
                <w:lang w:val="en-US" w:eastAsia="zh-CN"/>
              </w:rPr>
              <w:t>质量、环境、职业健康安全管理体系明确了公司总经理、管理者代表、综合部、采购部、质检部、生产部、研发部、销售部、财务部等岗位的职责和权限；</w:t>
            </w:r>
          </w:p>
          <w:p>
            <w:pPr>
              <w:keepNext w:val="0"/>
              <w:keepLines w:val="0"/>
              <w:pageBreakBefore w:val="0"/>
              <w:widowControl w:val="0"/>
              <w:kinsoku/>
              <w:wordWrap/>
              <w:overflowPunct/>
              <w:topLinePunct w:val="0"/>
              <w:autoSpaceDE/>
              <w:autoSpaceDN/>
              <w:bidi w:val="0"/>
              <w:snapToGrid/>
              <w:spacing w:before="157" w:beforeLines="50" w:line="24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kern w:val="2"/>
                <w:sz w:val="21"/>
                <w:szCs w:val="22"/>
                <w:lang w:val="en-US" w:eastAsia="zh-CN" w:bidi="ar-SA"/>
              </w:rPr>
              <w:t>能源管理体系明确了公司总经理、管理者代表、质检部</w:t>
            </w:r>
            <w:r>
              <w:rPr>
                <w:rFonts w:hint="eastAsia" w:ascii="Times New Roman" w:hAnsi="Times New Roman" w:eastAsia="宋体" w:cs="Times New Roman"/>
                <w:szCs w:val="22"/>
                <w:lang w:val="en-US" w:eastAsia="zh-CN"/>
              </w:rPr>
              <w:t>、综合部、厂部职责——生产部？、各生产车间、其他职能部门等岗位的职责和权限</w:t>
            </w:r>
          </w:p>
          <w:p>
            <w:pPr>
              <w:keepNext w:val="0"/>
              <w:keepLines w:val="0"/>
              <w:pageBreakBefore w:val="0"/>
              <w:widowControl w:val="0"/>
              <w:kinsoku/>
              <w:wordWrap/>
              <w:overflowPunct/>
              <w:topLinePunct w:val="0"/>
              <w:autoSpaceDE/>
              <w:autoSpaceDN/>
              <w:bidi w:val="0"/>
              <w:snapToGrid/>
              <w:spacing w:before="157" w:beforeLines="50" w:line="240" w:lineRule="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能源管理体系的职责描述与部门设置不一致，已沟通进行完善。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r>
              <w:rPr>
                <w:rFonts w:hint="eastAsia"/>
                <w:sz w:val="21"/>
                <w:szCs w:val="21"/>
              </w:rPr>
              <w:t>管理方针和目标的适宜性</w:t>
            </w:r>
          </w:p>
        </w:tc>
        <w:tc>
          <w:tcPr>
            <w:tcW w:w="960" w:type="dxa"/>
          </w:tcPr>
          <w:p>
            <w:pPr>
              <w:rPr>
                <w:rFonts w:hint="eastAsia" w:eastAsia="宋体"/>
                <w:lang w:val="en-US" w:eastAsia="zh-CN"/>
              </w:rPr>
            </w:pPr>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:5.2/</w:t>
            </w:r>
            <w:r>
              <w:rPr>
                <w:rFonts w:hint="eastAsia"/>
                <w:b/>
                <w:bCs/>
                <w:sz w:val="21"/>
                <w:szCs w:val="21"/>
                <w:lang w:val="en-US" w:eastAsia="zh-CN"/>
              </w:rPr>
              <w:t>6</w:t>
            </w:r>
            <w:r>
              <w:rPr>
                <w:rFonts w:hint="eastAsia"/>
                <w:b/>
                <w:bCs/>
                <w:sz w:val="21"/>
                <w:szCs w:val="21"/>
              </w:rPr>
              <w:t>.</w:t>
            </w:r>
            <w:r>
              <w:rPr>
                <w:rFonts w:hint="eastAsia"/>
                <w:b/>
                <w:bCs/>
                <w:sz w:val="21"/>
                <w:szCs w:val="21"/>
                <w:lang w:val="en-US" w:eastAsia="zh-CN"/>
              </w:rPr>
              <w:t>2</w:t>
            </w:r>
          </w:p>
        </w:tc>
        <w:tc>
          <w:tcPr>
            <w:tcW w:w="10004" w:type="dxa"/>
          </w:tcPr>
          <w:p>
            <w:pPr>
              <w:spacing w:line="360" w:lineRule="auto"/>
              <w:ind w:firstLine="480"/>
              <w:rPr>
                <w:rFonts w:hint="eastAsia"/>
                <w:lang w:val="en-US" w:eastAsia="zh-CN"/>
              </w:rPr>
            </w:pPr>
            <w:r>
              <w:rPr>
                <w:rFonts w:hint="eastAsia"/>
                <w:lang w:val="en-US" w:eastAsia="zh-CN"/>
              </w:rPr>
              <w:t>质量、环境、职业健康安全管理体系的管理方针是：</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lang w:val="en-US" w:eastAsia="zh-CN"/>
              </w:rPr>
            </w:pPr>
            <w:r>
              <w:rPr>
                <w:rFonts w:hint="eastAsia"/>
                <w:lang w:val="en-US" w:eastAsia="zh-CN"/>
              </w:rPr>
              <w:t>以产品质量为中心，以客户满意为宗旨</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lang w:val="en-US" w:eastAsia="zh-CN"/>
              </w:rPr>
            </w:pPr>
            <w:bookmarkStart w:id="0" w:name="OLE_LINK11"/>
            <w:r>
              <w:rPr>
                <w:rFonts w:hint="eastAsia"/>
                <w:lang w:val="en-US" w:eastAsia="zh-CN"/>
              </w:rPr>
              <w:t>规范操作，减少环境污染</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lang w:val="en-US" w:eastAsia="zh-CN"/>
              </w:rPr>
            </w:pPr>
            <w:r>
              <w:rPr>
                <w:rFonts w:hint="eastAsia"/>
                <w:lang w:val="en-US" w:eastAsia="zh-CN"/>
              </w:rPr>
              <w:t xml:space="preserve">关爱生命，预防安全事故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lang w:val="en-US" w:eastAsia="zh-CN"/>
              </w:rPr>
            </w:pPr>
            <w:r>
              <w:rPr>
                <w:rFonts w:hint="eastAsia"/>
                <w:lang w:val="en-US" w:eastAsia="zh-CN"/>
              </w:rPr>
              <w:t>遵纪守法，追求不断改进</w:t>
            </w:r>
          </w:p>
          <w:p>
            <w:pPr>
              <w:spacing w:line="360" w:lineRule="auto"/>
              <w:ind w:firstLine="480"/>
              <w:rPr>
                <w:rFonts w:hint="eastAsia"/>
                <w:lang w:val="en-US" w:eastAsia="zh-CN"/>
              </w:rPr>
            </w:pPr>
            <w:r>
              <w:rPr>
                <w:rFonts w:hint="eastAsia"/>
                <w:lang w:val="en-US" w:eastAsia="zh-CN"/>
              </w:rPr>
              <w:t>制定了质量、环境、职业健康安全目标：</w:t>
            </w:r>
          </w:p>
          <w:bookmarkEnd w:id="0"/>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能源管理体系的管理方针是：遵守法规  清洁生产  创新改造  提高能效</w:t>
            </w:r>
          </w:p>
          <w:p>
            <w:pPr>
              <w:pStyle w:val="2"/>
              <w:numPr>
                <w:ilvl w:val="1"/>
                <w:numId w:val="0"/>
              </w:numPr>
              <w:ind w:leftChars="0"/>
              <w:rPr>
                <w:rFonts w:hint="default"/>
                <w:lang w:val="en-US" w:eastAsia="zh-CN"/>
              </w:rPr>
            </w:pPr>
            <w:r>
              <w:rPr>
                <w:rFonts w:hint="eastAsia" w:ascii="Times New Roman" w:hAnsi="Times New Roman" w:eastAsia="宋体" w:cs="Times New Roman"/>
                <w:kern w:val="2"/>
                <w:sz w:val="21"/>
                <w:szCs w:val="22"/>
                <w:lang w:val="en-US" w:eastAsia="zh-CN" w:bidi="ar-SA"/>
              </w:rPr>
              <w:t>制定了能源目标及指标。</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r>
              <w:rPr>
                <w:rFonts w:hint="eastAsia"/>
                <w:sz w:val="21"/>
                <w:szCs w:val="21"/>
              </w:rPr>
              <w:t>风险机制的建立和控制情况</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w:t>
            </w:r>
            <w:r>
              <w:rPr>
                <w:rFonts w:hint="eastAsia"/>
                <w:b/>
                <w:bCs/>
                <w:sz w:val="21"/>
                <w:szCs w:val="21"/>
                <w:lang w:val="en-US" w:eastAsia="zh-CN"/>
              </w:rPr>
              <w:t>6</w:t>
            </w:r>
            <w:r>
              <w:rPr>
                <w:rFonts w:hint="eastAsia"/>
                <w:b/>
                <w:bCs/>
                <w:sz w:val="21"/>
                <w:szCs w:val="21"/>
              </w:rPr>
              <w:t>.1</w:t>
            </w: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公司建立、实施并保持满足质量、环境、职业健康安全管理体系能源管理体系的风险机制： 包括标准要求所需的过程。策划质量环境职业健康安全管理体系时，同时考虑了企业所处的环境和相关方的要求及其质量环境职业健康安全管理体系的范围，并确定与环境因素、危险源、合规义务(法律法规要求和其他要求)中识别的其他问题和要求相关的需要应对的风险和机遇。</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建立了环境因素、危险源辨识及风险和机遇的评价，在确立环境因素识别时考虑环境管理体系范围内的活动、产品和服务能够控制和影响的环境因素，考虑生命周期观点。确定环境因素时，考虑：变更的影响和异常状况及可预见的紧急情况。</w:t>
            </w:r>
            <w:r>
              <w:rPr>
                <w:rFonts w:hint="eastAsia"/>
                <w:lang w:val="en-US" w:eastAsia="zh-CN"/>
              </w:rPr>
              <w:br w:type="textWrapping"/>
            </w:r>
            <w:r>
              <w:rPr>
                <w:rFonts w:hint="eastAsia"/>
                <w:lang w:val="en-US" w:eastAsia="zh-CN"/>
              </w:rPr>
              <w:t>公司建立了《环境因素识别与评价管理程序》，确定了环境因素识别及重要环境因素的判定。</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pPr>
            <w:r>
              <w:rPr>
                <w:rFonts w:hint="eastAsia"/>
                <w:lang w:val="en-US" w:eastAsia="zh-CN"/>
              </w:rPr>
              <w:t>确定重要环境因素：6项，制定了管理控制方式（管理方案或措施）。</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公司建立了《危险源辨识与风险评价控制措施管理程序》在进行危险源辨识及风险和机遇的评价时考虑危险源辨识的过程如：常规和非常规的活动和状况；基础设施、设备、原料、材料和工作场所的物理环境；产品和服务的设计、研究、开发、测试、生产、装配、施工、交付、维护或处置；人为因素；以往发生的相关事Y件及其原因；潜在的紧急情况；其他情况等；</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pPr>
            <w:r>
              <w:rPr>
                <w:rFonts w:hint="eastAsia"/>
                <w:lang w:val="en-US" w:eastAsia="zh-CN"/>
              </w:rPr>
              <w:t>确定重大风险：8项。制定了控制措施。</w:t>
            </w:r>
          </w:p>
          <w:p>
            <w:pPr>
              <w:pStyle w:val="3"/>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满足要求。</w:t>
            </w:r>
          </w:p>
          <w:p>
            <w:pPr>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能源管理体系在规划时，考虑企业所处的环境和相关方的要求，并对影响企业能源绩效的活动和过程进行规划且与能源政策一致，确保能源绩效持续改善。公司制定了《风险和机遇分析评价及应对措施控制程序》</w:t>
            </w:r>
          </w:p>
          <w:p>
            <w:pPr>
              <w:pStyle w:val="2"/>
              <w:keepNext w:val="0"/>
              <w:keepLines w:val="0"/>
              <w:pageBreakBefore w:val="0"/>
              <w:widowControl w:val="0"/>
              <w:numPr>
                <w:ilvl w:val="1"/>
                <w:numId w:val="0"/>
              </w:numPr>
              <w:kinsoku/>
              <w:wordWrap/>
              <w:overflowPunct/>
              <w:topLinePunct w:val="0"/>
              <w:bidi w:val="0"/>
              <w:snapToGrid/>
              <w:spacing w:before="157" w:beforeLines="50" w:line="240" w:lineRule="auto"/>
              <w:ind w:leftChars="0"/>
              <w:rPr>
                <w:rFonts w:hint="default"/>
                <w:lang w:val="en-US" w:eastAsia="zh-CN"/>
              </w:rPr>
            </w:pPr>
            <w:r>
              <w:rPr>
                <w:rFonts w:hint="eastAsia" w:ascii="Times New Roman" w:hAnsi="Times New Roman" w:eastAsia="宋体" w:cs="Times New Roman"/>
                <w:color w:val="auto"/>
                <w:kern w:val="2"/>
                <w:sz w:val="21"/>
                <w:szCs w:val="22"/>
                <w:lang w:val="en-US" w:eastAsia="zh-CN" w:bidi="ar-SA"/>
              </w:rPr>
              <w:t>能源的</w:t>
            </w:r>
            <w:r>
              <w:rPr>
                <w:rFonts w:hint="eastAsia" w:ascii="Times New Roman" w:hAnsi="Times New Roman" w:eastAsia="宋体" w:cs="Times New Roman"/>
                <w:color w:val="auto"/>
                <w:kern w:val="2"/>
                <w:sz w:val="21"/>
                <w:szCs w:val="22"/>
                <w:highlight w:val="none"/>
                <w:lang w:val="en-US" w:eastAsia="zh-CN" w:bidi="ar-SA"/>
              </w:rPr>
              <w:t>风险包括：天然气中断、电力中断、蒸汽中断的风险，国家相关政策法律法规变化带来的风险以及企业内部环境发生变化后产生的风险等。</w:t>
            </w:r>
          </w:p>
          <w:p>
            <w:pPr>
              <w:pStyle w:val="3"/>
              <w:rPr>
                <w:rFonts w:hint="default" w:ascii="Times New Roman" w:hAnsi="Times New Roman" w:eastAsia="宋体" w:cs="Times New Roman"/>
                <w:color w:val="auto"/>
                <w:kern w:val="2"/>
                <w:sz w:val="21"/>
                <w:szCs w:val="22"/>
                <w:lang w:val="en-US" w:eastAsia="zh-CN" w:bidi="ar-SA"/>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rPr>
            </w:pPr>
            <w:r>
              <w:rPr>
                <w:rFonts w:hint="eastAsia"/>
                <w:sz w:val="21"/>
                <w:szCs w:val="21"/>
                <w:lang w:val="en-US" w:eastAsia="zh-CN"/>
              </w:rPr>
              <w:t>资源的充分性</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:7.1</w:t>
            </w: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color w:val="auto"/>
                <w:kern w:val="2"/>
                <w:sz w:val="21"/>
                <w:szCs w:val="22"/>
                <w:lang w:val="en-US" w:eastAsia="zh-CN" w:bidi="ar-SA"/>
              </w:rPr>
            </w:pPr>
            <w:r>
              <w:rPr>
                <w:rFonts w:hint="eastAsia" w:ascii="黑体" w:hAnsi="黑体" w:eastAsia="黑体" w:cs="黑体"/>
                <w:color w:val="000000"/>
                <w:sz w:val="24"/>
              </w:rPr>
              <w:t xml:space="preserve"> </w:t>
            </w:r>
            <w:r>
              <w:rPr>
                <w:rFonts w:hint="eastAsia" w:ascii="Times New Roman" w:hAnsi="Times New Roman" w:eastAsia="宋体" w:cs="Times New Roman"/>
                <w:color w:val="auto"/>
                <w:kern w:val="2"/>
                <w:sz w:val="21"/>
                <w:szCs w:val="22"/>
                <w:lang w:val="en-US" w:eastAsia="zh-CN" w:bidi="ar-SA"/>
              </w:rPr>
              <w:t>公司确定了建立、实施、保持和持续改进质量环境职业健康安全管理体系所需的资源。并考虑了现有内部资源的能力和不足以及需要从外部供方获得的资源。</w:t>
            </w:r>
          </w:p>
          <w:p>
            <w:pPr>
              <w:pStyle w:val="2"/>
              <w:keepNext w:val="0"/>
              <w:keepLines w:val="0"/>
              <w:pageBreakBefore w:val="0"/>
              <w:widowControl w:val="0"/>
              <w:numPr>
                <w:ilvl w:val="1"/>
                <w:numId w:val="0"/>
              </w:numPr>
              <w:kinsoku/>
              <w:wordWrap/>
              <w:overflowPunct/>
              <w:topLinePunct w:val="0"/>
              <w:bidi w:val="0"/>
              <w:snapToGrid/>
              <w:spacing w:before="157" w:beforeLines="50" w:line="240" w:lineRule="auto"/>
              <w:ind w:leftChars="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考虑人员的能力、基础设施、监视测量设备设施、员工的工作环境、企业的知识、技术、相关的制度支持、企业内外部沟通和协商信息交流的渠道等。</w:t>
            </w:r>
          </w:p>
          <w:p>
            <w:pPr>
              <w:pStyle w:val="3"/>
              <w:keepNext w:val="0"/>
              <w:keepLines w:val="0"/>
              <w:pageBreakBefore w:val="0"/>
              <w:widowControl w:val="0"/>
              <w:kinsoku/>
              <w:wordWrap/>
              <w:overflowPunct/>
              <w:topLinePunct w:val="0"/>
              <w:bidi w:val="0"/>
              <w:snapToGrid/>
              <w:spacing w:before="157" w:beforeLines="50" w:line="240" w:lineRule="auto"/>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满足要求。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rPr>
            </w:pPr>
            <w:r>
              <w:rPr>
                <w:rFonts w:hint="eastAsia"/>
                <w:sz w:val="21"/>
                <w:szCs w:val="21"/>
              </w:rPr>
              <w:t>管理评审策划和实施</w:t>
            </w:r>
            <w:r>
              <w:rPr>
                <w:rFonts w:hint="eastAsia"/>
                <w:sz w:val="21"/>
                <w:szCs w:val="21"/>
                <w:lang w:val="en-US" w:eastAsia="zh-CN"/>
              </w:rPr>
              <w:t>及持续改进情况</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:9.3</w:t>
            </w:r>
            <w:r>
              <w:rPr>
                <w:rFonts w:hint="eastAsia"/>
                <w:b/>
                <w:bCs/>
                <w:sz w:val="21"/>
                <w:szCs w:val="21"/>
                <w:lang w:val="en-US" w:eastAsia="zh-CN"/>
              </w:rPr>
              <w:t>/10.1/10.3（En10.2）</w:t>
            </w: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2020年1月15日编制了管理评审计划，2020年1月19日组织了管理评审会议，由体系运行相关部门对QEOEn体系的运行进行了汇报，形成了管理评审会议记录及管理评审报告，并提出了改进计划。</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 xml:space="preserve"> 管理评审输入信息包括：顾客满意和相关方有关信息交流反馈等；QEO目标的实现程度；过程绩效以及服务的符合性；不合格以及事件调查、纠正和预防措施的状况；监视和测量结果；内部审核的结果；外部供方的绩效。资源的充分性；应对风险和机遇所采取措施的有效性；相关方的需求和期望及合规义务的履约情况；QEO持续改进的机会等。</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管理评审结果：自一体化体系运行以来，公司各部门员工不断增强执行QEO标准意识，以QEO标准为行动的准则，积极应用PDCA的管理方法，严格管理质量环境安全和各项工作。服务合格率明显提高,未发生重大不合格和安全事故，也未发生顾客报怨现象。因此，QEO方针在目前是适宜的、充分和有效的。</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基本符合要求。</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eastAsia="微软雅黑"/>
                <w:highlight w:val="green"/>
                <w:lang w:val="en-US" w:eastAsia="zh-CN"/>
              </w:rPr>
            </w:pPr>
            <w:r>
              <w:rPr>
                <w:rFonts w:hint="eastAsia" w:ascii="Times New Roman" w:hAnsi="Times New Roman" w:eastAsia="宋体" w:cs="Times New Roman"/>
                <w:color w:val="auto"/>
                <w:kern w:val="2"/>
                <w:sz w:val="21"/>
                <w:szCs w:val="22"/>
                <w:lang w:val="en-US" w:eastAsia="zh-CN" w:bidi="ar-SA"/>
              </w:rPr>
              <w:t>能源管理体系的管理评审：2020.12.29在公司会议室召开管理评审会议，参加评审人员：总经理、管代、综合部、研发部、生产部、质检部、销售部、采购部，评审结论：公司能源管理体系整体来看保持了持续的适宜性、充分性和有效性。</w:t>
            </w:r>
          </w:p>
          <w:p>
            <w:pPr>
              <w:rPr>
                <w:rFonts w:hint="default" w:eastAsia="宋体"/>
                <w:lang w:val="en-US" w:eastAsia="zh-CN"/>
              </w:rPr>
            </w:pP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质检部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陆颖英           </w:t>
            </w:r>
            <w:r>
              <w:rPr>
                <w:rFonts w:hint="eastAsia"/>
                <w:sz w:val="24"/>
                <w:szCs w:val="24"/>
              </w:rPr>
              <w:t>陪同人员</w:t>
            </w:r>
            <w:r>
              <w:rPr>
                <w:rFonts w:hint="eastAsia"/>
                <w:sz w:val="24"/>
                <w:szCs w:val="24"/>
                <w:lang w:eastAsia="zh-CN"/>
              </w:rPr>
              <w:t>：</w:t>
            </w:r>
            <w:r>
              <w:rPr>
                <w:rFonts w:hint="eastAsia"/>
                <w:sz w:val="24"/>
                <w:szCs w:val="24"/>
                <w:lang w:val="en-US" w:eastAsia="zh-CN"/>
              </w:rPr>
              <w:t>解寿涛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w:t>
            </w:r>
            <w:r>
              <w:rPr>
                <w:rFonts w:hint="eastAsia"/>
                <w:sz w:val="24"/>
                <w:szCs w:val="24"/>
              </w:rPr>
              <w:t>审核时间：</w:t>
            </w:r>
            <w:r>
              <w:rPr>
                <w:rFonts w:hint="eastAsia"/>
                <w:sz w:val="24"/>
                <w:szCs w:val="24"/>
                <w:lang w:val="en-US" w:eastAsia="zh-CN"/>
              </w:rPr>
              <w:t>2021.3.23   11:00-15:00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1054" w:hanging="1200" w:hangingChars="500"/>
              <w:jc w:val="left"/>
              <w:textAlignment w:val="auto"/>
              <w:rPr>
                <w:rFonts w:hint="default"/>
                <w:b/>
                <w:bCs/>
                <w:sz w:val="21"/>
                <w:szCs w:val="21"/>
                <w:lang w:val="en-US" w:eastAsia="zh-CN"/>
              </w:rPr>
            </w:pPr>
            <w:r>
              <w:rPr>
                <w:rFonts w:hint="eastAsia"/>
                <w:sz w:val="24"/>
                <w:szCs w:val="24"/>
              </w:rPr>
              <w:t>审核条款：</w:t>
            </w:r>
            <w:r>
              <w:rPr>
                <w:rFonts w:hint="eastAsia"/>
                <w:b/>
                <w:bCs/>
                <w:sz w:val="21"/>
                <w:szCs w:val="21"/>
                <w:lang w:val="en-US" w:eastAsia="zh-CN"/>
              </w:rPr>
              <w:t>Q:</w:t>
            </w:r>
            <w:r>
              <w:rPr>
                <w:rFonts w:hint="eastAsia"/>
                <w:b/>
                <w:bCs/>
                <w:sz w:val="21"/>
                <w:szCs w:val="21"/>
                <w:u w:val="single"/>
              </w:rPr>
              <w:t>5.3/</w:t>
            </w:r>
            <w:r>
              <w:rPr>
                <w:rFonts w:hint="eastAsia"/>
                <w:b/>
                <w:bCs/>
                <w:sz w:val="21"/>
                <w:szCs w:val="21"/>
                <w:lang w:val="en-US" w:eastAsia="zh-CN"/>
              </w:rPr>
              <w:t>6.1/</w:t>
            </w:r>
            <w:r>
              <w:rPr>
                <w:rFonts w:hint="eastAsia"/>
                <w:b/>
                <w:bCs/>
                <w:sz w:val="21"/>
                <w:szCs w:val="21"/>
                <w:u w:val="single"/>
              </w:rPr>
              <w:t>6.2</w:t>
            </w:r>
            <w:r>
              <w:rPr>
                <w:rFonts w:hint="eastAsia"/>
                <w:b/>
                <w:bCs/>
                <w:sz w:val="21"/>
                <w:szCs w:val="21"/>
              </w:rPr>
              <w:t>/</w:t>
            </w:r>
            <w:r>
              <w:rPr>
                <w:rFonts w:hint="eastAsia"/>
                <w:b/>
                <w:bCs/>
                <w:sz w:val="21"/>
                <w:szCs w:val="21"/>
                <w:lang w:val="en-US" w:eastAsia="zh-CN"/>
              </w:rPr>
              <w:t>8.1/8.5/9.1.1/</w:t>
            </w:r>
            <w:r>
              <w:rPr>
                <w:rFonts w:hint="eastAsia"/>
                <w:b/>
                <w:bCs/>
                <w:sz w:val="21"/>
                <w:szCs w:val="21"/>
                <w:u w:val="single"/>
                <w:lang w:val="en-US" w:eastAsia="zh-CN"/>
              </w:rPr>
              <w:t xml:space="preserve">10.2; </w:t>
            </w:r>
            <w:r>
              <w:rPr>
                <w:rFonts w:hint="eastAsia"/>
                <w:b/>
                <w:bCs/>
                <w:sz w:val="21"/>
                <w:szCs w:val="21"/>
                <w:lang w:val="en-US" w:eastAsia="zh-CN"/>
              </w:rPr>
              <w:t xml:space="preserve"> EO</w:t>
            </w:r>
            <w:r>
              <w:rPr>
                <w:rFonts w:hint="eastAsia"/>
                <w:b/>
                <w:bCs/>
                <w:sz w:val="21"/>
                <w:szCs w:val="21"/>
              </w:rPr>
              <w:t xml:space="preserve"> :</w:t>
            </w:r>
            <w:r>
              <w:rPr>
                <w:rFonts w:hint="eastAsia"/>
                <w:b/>
                <w:bCs/>
                <w:sz w:val="21"/>
                <w:szCs w:val="21"/>
                <w:u w:val="single"/>
              </w:rPr>
              <w:t>5.3</w:t>
            </w:r>
            <w:r>
              <w:rPr>
                <w:rFonts w:hint="eastAsia"/>
                <w:b/>
                <w:bCs/>
                <w:sz w:val="21"/>
                <w:szCs w:val="21"/>
                <w:u w:val="single"/>
                <w:lang w:val="en-US" w:eastAsia="zh-CN"/>
              </w:rPr>
              <w:t>/6.2</w:t>
            </w:r>
            <w:r>
              <w:rPr>
                <w:rFonts w:hint="eastAsia"/>
                <w:b/>
                <w:bCs/>
                <w:sz w:val="21"/>
                <w:szCs w:val="21"/>
                <w:lang w:val="en-US" w:eastAsia="zh-CN"/>
              </w:rPr>
              <w:t>/8.1/9.1.1/</w:t>
            </w:r>
            <w:r>
              <w:rPr>
                <w:rFonts w:hint="eastAsia"/>
                <w:b/>
                <w:bCs/>
                <w:sz w:val="21"/>
                <w:szCs w:val="21"/>
                <w:u w:val="single"/>
                <w:lang w:val="en-US" w:eastAsia="zh-CN"/>
              </w:rPr>
              <w:t>10.2</w:t>
            </w:r>
            <w:r>
              <w:rPr>
                <w:rFonts w:hint="eastAsia"/>
                <w:b/>
                <w:bCs/>
                <w:sz w:val="21"/>
                <w:szCs w:val="21"/>
                <w:lang w:val="en-US" w:eastAsia="zh-CN"/>
              </w:rPr>
              <w:t xml:space="preserve">; </w:t>
            </w:r>
          </w:p>
          <w:p>
            <w:pPr>
              <w:rPr>
                <w:rFonts w:hint="eastAsia"/>
                <w:b/>
                <w:bCs/>
                <w:sz w:val="21"/>
                <w:szCs w:val="21"/>
                <w:u w:val="single"/>
                <w:lang w:val="en-US" w:eastAsia="zh-CN"/>
              </w:rPr>
            </w:pPr>
            <w:r>
              <w:rPr>
                <w:rFonts w:hint="eastAsia"/>
                <w:b/>
                <w:bCs/>
                <w:sz w:val="21"/>
                <w:szCs w:val="21"/>
                <w:lang w:val="en-US" w:eastAsia="zh-CN"/>
              </w:rPr>
              <w:t xml:space="preserve">           En:</w:t>
            </w:r>
            <w:r>
              <w:rPr>
                <w:rFonts w:hint="eastAsia"/>
                <w:b/>
                <w:bCs/>
                <w:sz w:val="21"/>
                <w:szCs w:val="21"/>
                <w:u w:val="single"/>
              </w:rPr>
              <w:t>5.3/</w:t>
            </w:r>
            <w:r>
              <w:rPr>
                <w:rFonts w:hint="eastAsia"/>
                <w:b/>
                <w:bCs/>
                <w:sz w:val="21"/>
                <w:szCs w:val="21"/>
                <w:lang w:val="en-US" w:eastAsia="zh-CN"/>
              </w:rPr>
              <w:t>6.1/</w:t>
            </w:r>
            <w:r>
              <w:rPr>
                <w:rFonts w:hint="eastAsia"/>
                <w:b/>
                <w:bCs/>
                <w:sz w:val="21"/>
                <w:szCs w:val="21"/>
              </w:rPr>
              <w:t>6.2/</w:t>
            </w:r>
            <w:r>
              <w:rPr>
                <w:rFonts w:hint="eastAsia"/>
                <w:b/>
                <w:bCs/>
                <w:sz w:val="21"/>
                <w:szCs w:val="21"/>
                <w:lang w:val="en-US" w:eastAsia="zh-CN"/>
              </w:rPr>
              <w:t>6.3/6.4/6.5/6.6/8.1/8.2/9.1.1/</w:t>
            </w:r>
            <w:r>
              <w:rPr>
                <w:rFonts w:hint="eastAsia"/>
                <w:b/>
                <w:bCs/>
                <w:sz w:val="21"/>
                <w:szCs w:val="21"/>
                <w:u w:val="single"/>
                <w:lang w:val="en-US" w:eastAsia="zh-CN"/>
              </w:rPr>
              <w:t xml:space="preserve">9.2/10.1  </w:t>
            </w:r>
          </w:p>
          <w:p>
            <w:pPr>
              <w:ind w:firstLine="1054" w:firstLineChars="500"/>
              <w:rPr>
                <w:rFonts w:hint="default"/>
                <w:sz w:val="24"/>
                <w:szCs w:val="24"/>
                <w:lang w:val="en-US"/>
              </w:rPr>
            </w:pPr>
            <w:r>
              <w:rPr>
                <w:rFonts w:hint="eastAsia"/>
                <w:b/>
                <w:bCs/>
                <w:sz w:val="21"/>
                <w:szCs w:val="21"/>
                <w:u w:val="single"/>
                <w:lang w:val="en-US" w:eastAsia="zh-CN"/>
              </w:rPr>
              <w:t>带的下划线部分的审核见王宁敏的审核记录。</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lang w:val="en-US" w:eastAsia="zh-CN"/>
              </w:rPr>
              <w:t>质检部的职责和权限</w:t>
            </w:r>
          </w:p>
        </w:tc>
        <w:tc>
          <w:tcPr>
            <w:tcW w:w="960" w:type="dxa"/>
          </w:tcPr>
          <w:p>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:5.3</w:t>
            </w:r>
          </w:p>
        </w:tc>
        <w:tc>
          <w:tcPr>
            <w:tcW w:w="10004" w:type="dxa"/>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部长：</w:t>
            </w:r>
            <w:r>
              <w:rPr>
                <w:rFonts w:hint="eastAsia" w:cs="Times New Roman"/>
                <w:szCs w:val="22"/>
                <w:lang w:val="en-US" w:eastAsia="zh-CN"/>
              </w:rPr>
              <w:t>陆颖英</w:t>
            </w:r>
            <w:r>
              <w:rPr>
                <w:rFonts w:hint="eastAsia" w:ascii="Times New Roman" w:hAnsi="Times New Roman" w:eastAsia="宋体" w:cs="Times New Roman"/>
                <w:szCs w:val="22"/>
                <w:lang w:val="en-US" w:eastAsia="zh-CN"/>
              </w:rPr>
              <w:t xml:space="preserve"> 介绍：主要职责</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负责公司产品质量的检验和放行，</w:t>
            </w:r>
            <w:r>
              <w:rPr>
                <w:rFonts w:hint="eastAsia" w:ascii="宋体" w:hAnsi="宋体" w:eastAsia="宋体" w:cs="Times New Roman"/>
                <w:szCs w:val="22"/>
                <w:lang w:val="en-US" w:eastAsia="zh-CN"/>
              </w:rPr>
              <w:t>质检部负责原材料验收、过程质量检验和成品质量检验；提供提供了合格的产品质量检测报告；提供公司《品质检验标准》，包括原材料及辅料、过程检验、成品检验；</w:t>
            </w:r>
            <w:r>
              <w:rPr>
                <w:rFonts w:hint="eastAsia" w:ascii="Times New Roman" w:hAnsi="Times New Roman" w:eastAsia="宋体" w:cs="Times New Roman"/>
                <w:szCs w:val="22"/>
                <w:lang w:val="en-US" w:eastAsia="zh-CN"/>
              </w:rPr>
              <w:t>负责组织不合格品评审；负责对采购物资中的不合格品进行处置；负责纠正措施的验证和持续改进的实施；负责组织实施物资的验收、半成品、成品的检验和标识工作；有权制止违反工艺的操作；负责产品的检测和不合格输出的控制等；负责监视、测量设备的管理；贯彻实施公司的质量、环境和职业健康安全及企业管理方针、目标、指标和管理方案；对本部门环境因素、危险源进行辨识和评价，制订控制措施；参与公司组织的应急演练；对工作场所进行风险控制，保护环境。</w:t>
            </w:r>
          </w:p>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r>
              <w:rPr>
                <w:rFonts w:hint="eastAsia"/>
                <w:sz w:val="21"/>
                <w:szCs w:val="21"/>
                <w:lang w:val="en-US" w:eastAsia="zh-CN"/>
              </w:rPr>
              <w:t>质量管理体系策划、不合格产品的控制</w:t>
            </w:r>
          </w:p>
        </w:tc>
        <w:tc>
          <w:tcPr>
            <w:tcW w:w="960" w:type="dxa"/>
          </w:tcPr>
          <w:p>
            <w:pPr>
              <w:rPr>
                <w:rFonts w:hint="eastAsia"/>
                <w:b/>
                <w:bCs/>
                <w:sz w:val="21"/>
                <w:szCs w:val="21"/>
                <w:lang w:val="en-US" w:eastAsia="zh-CN"/>
              </w:rPr>
            </w:pPr>
            <w:r>
              <w:rPr>
                <w:rFonts w:hint="eastAsia"/>
                <w:b/>
                <w:bCs/>
                <w:sz w:val="21"/>
                <w:szCs w:val="21"/>
                <w:lang w:val="en-US" w:eastAsia="zh-CN"/>
              </w:rPr>
              <w:t>Q</w:t>
            </w:r>
            <w:r>
              <w:rPr>
                <w:rFonts w:hint="eastAsia"/>
                <w:b/>
                <w:bCs/>
                <w:sz w:val="21"/>
                <w:szCs w:val="21"/>
              </w:rPr>
              <w:t>:</w:t>
            </w:r>
            <w:r>
              <w:rPr>
                <w:rFonts w:hint="eastAsia"/>
                <w:b/>
                <w:bCs/>
                <w:sz w:val="21"/>
                <w:szCs w:val="21"/>
                <w:lang w:val="en-US" w:eastAsia="zh-CN"/>
              </w:rPr>
              <w:t>6</w:t>
            </w:r>
            <w:r>
              <w:rPr>
                <w:rFonts w:hint="eastAsia"/>
                <w:b/>
                <w:bCs/>
                <w:sz w:val="21"/>
                <w:szCs w:val="21"/>
              </w:rPr>
              <w:t>.</w:t>
            </w:r>
            <w:r>
              <w:rPr>
                <w:rFonts w:hint="eastAsia"/>
                <w:b/>
                <w:bCs/>
                <w:sz w:val="21"/>
                <w:szCs w:val="21"/>
                <w:lang w:val="en-US" w:eastAsia="zh-CN"/>
              </w:rPr>
              <w:t>1/</w:t>
            </w:r>
          </w:p>
          <w:p>
            <w:r>
              <w:rPr>
                <w:rFonts w:hint="eastAsia"/>
                <w:b/>
                <w:bCs/>
                <w:sz w:val="21"/>
                <w:szCs w:val="21"/>
                <w:lang w:val="en-US" w:eastAsia="zh-CN"/>
              </w:rPr>
              <w:t>8.1/8.5/8.7.</w:t>
            </w: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量管理体系策划并提供了《组织知识控制程序》、《设计开发控制程序》、《生产过程控制程序》、《外部提供产品、服务和过程控制程序》、《与顾客有关过程管理程序》、《绩效测量和监视管理程序》、《不合格管理程序》等相关要求，对质量管理体系实施控制。</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不合格的分类</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严重不合格:造成较大经济损失、直接影响产品和服务质量、主要功能和性能技术指标等的不合格；</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一般不合格：未造成影响的不合格；</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在产品和服务交付给顾客及产品、服务投入使用时才发现的不合格。</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对于严重不合格，销售部等部门评审决定处置方法，评审结果填写《不合格处置单》。</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对供应商</w:t>
            </w:r>
            <w:r>
              <w:rPr>
                <w:rFonts w:hint="eastAsia" w:ascii="Times New Roman" w:hAnsi="Times New Roman" w:eastAsia="宋体" w:cs="Times New Roman"/>
                <w:szCs w:val="22"/>
                <w:lang w:val="zh-CN" w:eastAsia="zh-CN"/>
              </w:rPr>
              <w:t>采购产品不合格的识别和处理：处理方式可采用退回供方另行处理。</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w:t>
            </w:r>
            <w:r>
              <w:rPr>
                <w:rFonts w:hint="eastAsia" w:ascii="Times New Roman" w:hAnsi="Times New Roman" w:eastAsia="宋体" w:cs="Times New Roman"/>
                <w:szCs w:val="22"/>
                <w:lang w:val="zh-CN" w:eastAsia="zh-CN"/>
              </w:rPr>
              <w:t>服务不合格处理：对于</w:t>
            </w:r>
            <w:r>
              <w:rPr>
                <w:rFonts w:hint="eastAsia" w:ascii="Times New Roman" w:hAnsi="Times New Roman" w:eastAsia="宋体" w:cs="Times New Roman"/>
                <w:szCs w:val="22"/>
                <w:lang w:val="en-US" w:eastAsia="zh-CN"/>
              </w:rPr>
              <w:t>产品、</w:t>
            </w:r>
            <w:r>
              <w:rPr>
                <w:rFonts w:hint="eastAsia" w:ascii="Times New Roman" w:hAnsi="Times New Roman" w:eastAsia="宋体" w:cs="Times New Roman"/>
                <w:szCs w:val="22"/>
                <w:lang w:val="zh-CN" w:eastAsia="zh-CN"/>
              </w:rPr>
              <w:t>服务过程中发生的不合格现象，可以通过批评、教育、经济处罚、培训或其他措施等方式进行处理。</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新宋体" w:eastAsia="黑体"/>
                <w:bCs/>
                <w:color w:val="000000"/>
                <w:sz w:val="28"/>
                <w:szCs w:val="28"/>
                <w:lang w:val="en-US" w:eastAsia="zh-CN"/>
              </w:rPr>
            </w:pPr>
            <w:r>
              <w:rPr>
                <w:rFonts w:hint="eastAsia" w:ascii="Times New Roman" w:hAnsi="Times New Roman" w:eastAsia="宋体" w:cs="Times New Roman"/>
                <w:szCs w:val="22"/>
                <w:lang w:val="zh-CN" w:eastAsia="zh-CN"/>
              </w:rPr>
              <w:t>对于已交付后顾客发现的不合格，</w:t>
            </w:r>
            <w:r>
              <w:rPr>
                <w:rFonts w:hint="eastAsia" w:ascii="Times New Roman" w:hAnsi="Times New Roman" w:eastAsia="宋体" w:cs="Times New Roman"/>
                <w:szCs w:val="22"/>
                <w:lang w:val="en-US" w:eastAsia="zh-CN"/>
              </w:rPr>
              <w:t>销售部</w:t>
            </w:r>
            <w:r>
              <w:rPr>
                <w:rFonts w:hint="eastAsia" w:ascii="Times New Roman" w:hAnsi="Times New Roman" w:eastAsia="宋体" w:cs="Times New Roman"/>
                <w:szCs w:val="22"/>
                <w:lang w:val="zh-CN" w:eastAsia="zh-CN"/>
              </w:rPr>
              <w:t>采取相应的纠正或预防措施，执行《改进控制程序》有关规定；应及时与顾客协商处理，采用经济补偿或其他方式来确保顾客满意。</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rPr>
                <w:rFonts w:hint="eastAsia"/>
                <w:sz w:val="21"/>
                <w:szCs w:val="21"/>
                <w:lang w:val="en-US" w:eastAsia="zh-CN"/>
              </w:rPr>
            </w:pPr>
            <w:r>
              <w:rPr>
                <w:rFonts w:hint="eastAsia"/>
                <w:sz w:val="21"/>
                <w:szCs w:val="21"/>
                <w:lang w:val="en-US" w:eastAsia="zh-CN"/>
              </w:rPr>
              <w:t>产品的运行控制</w:t>
            </w:r>
          </w:p>
        </w:tc>
        <w:tc>
          <w:tcPr>
            <w:tcW w:w="960" w:type="dxa"/>
          </w:tcPr>
          <w:p>
            <w:pPr>
              <w:rPr>
                <w:rFonts w:hint="default"/>
                <w:lang w:val="en-US"/>
              </w:rPr>
            </w:pPr>
            <w:r>
              <w:rPr>
                <w:rFonts w:hint="eastAsia"/>
                <w:b/>
                <w:bCs/>
                <w:sz w:val="21"/>
                <w:szCs w:val="21"/>
                <w:lang w:val="en-US" w:eastAsia="zh-CN"/>
              </w:rPr>
              <w:t>QEO</w:t>
            </w:r>
            <w:r>
              <w:rPr>
                <w:rFonts w:hint="eastAsia"/>
                <w:b/>
                <w:bCs/>
                <w:sz w:val="21"/>
                <w:szCs w:val="21"/>
              </w:rPr>
              <w:t>E</w:t>
            </w:r>
            <w:r>
              <w:rPr>
                <w:rFonts w:hint="eastAsia"/>
                <w:b/>
                <w:bCs/>
                <w:sz w:val="21"/>
                <w:szCs w:val="21"/>
                <w:lang w:val="en-US" w:eastAsia="zh-CN"/>
              </w:rPr>
              <w:t>n</w:t>
            </w:r>
            <w:r>
              <w:rPr>
                <w:rFonts w:hint="eastAsia"/>
                <w:b/>
                <w:bCs/>
                <w:sz w:val="21"/>
                <w:szCs w:val="21"/>
              </w:rPr>
              <w:t>:</w:t>
            </w:r>
            <w:r>
              <w:rPr>
                <w:rFonts w:hint="eastAsia"/>
                <w:b/>
                <w:bCs/>
                <w:sz w:val="21"/>
                <w:szCs w:val="21"/>
                <w:lang w:val="en-US" w:eastAsia="zh-CN"/>
              </w:rPr>
              <w:t>6</w:t>
            </w:r>
            <w:r>
              <w:rPr>
                <w:rFonts w:hint="eastAsia"/>
                <w:b/>
                <w:bCs/>
                <w:sz w:val="21"/>
                <w:szCs w:val="21"/>
              </w:rPr>
              <w:t>.</w:t>
            </w:r>
            <w:r>
              <w:rPr>
                <w:rFonts w:hint="eastAsia"/>
                <w:b/>
                <w:bCs/>
                <w:sz w:val="21"/>
                <w:szCs w:val="21"/>
                <w:lang w:val="en-US" w:eastAsia="zh-CN"/>
              </w:rPr>
              <w:t>2/8.1</w:t>
            </w:r>
          </w:p>
        </w:tc>
        <w:tc>
          <w:tcPr>
            <w:tcW w:w="10004" w:type="dxa"/>
          </w:tcPr>
          <w:p>
            <w:pPr>
              <w:rPr>
                <w:rFonts w:hint="eastAsia"/>
                <w:lang w:val="en-US" w:eastAsia="zh-CN"/>
              </w:rPr>
            </w:pPr>
            <w:r>
              <w:rPr>
                <w:rFonts w:hint="eastAsia"/>
                <w:lang w:val="en-US" w:eastAsia="zh-CN"/>
              </w:rPr>
              <w:t>产品目标的策划和实现情况</w:t>
            </w:r>
          </w:p>
          <w:p>
            <w:pPr>
              <w:spacing w:line="360" w:lineRule="auto"/>
              <w:rPr>
                <w:rFonts w:hint="default"/>
                <w:lang w:val="en-US" w:eastAsia="zh-CN"/>
              </w:rPr>
            </w:pPr>
            <w:r>
              <w:rPr>
                <w:rFonts w:hint="eastAsia"/>
                <w:lang w:val="en-US" w:eastAsia="zh-CN"/>
              </w:rPr>
              <w:t>质量目标：产品抽检合格率≥98%；</w:t>
            </w:r>
            <w:r>
              <w:rPr>
                <w:rFonts w:hint="eastAsia" w:ascii="Times New Roman" w:hAnsi="Times New Roman" w:eastAsia="宋体" w:cs="Times New Roman"/>
                <w:kern w:val="2"/>
                <w:sz w:val="21"/>
                <w:szCs w:val="22"/>
                <w:lang w:val="en-US" w:eastAsia="zh-CN" w:bidi="ar-SA"/>
              </w:rPr>
              <w:t>2020年实际完成：100%</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r>
              <w:rPr>
                <w:rFonts w:hint="eastAsia"/>
                <w:sz w:val="21"/>
                <w:szCs w:val="21"/>
                <w:lang w:val="en-US" w:eastAsia="zh-CN"/>
              </w:rPr>
              <w:t>能源管理体系的策划、能源评审、能源基准、能源绩效参数的确定及控制</w:t>
            </w:r>
          </w:p>
        </w:tc>
        <w:tc>
          <w:tcPr>
            <w:tcW w:w="960" w:type="dxa"/>
          </w:tcPr>
          <w:p/>
        </w:tc>
        <w:tc>
          <w:tcPr>
            <w:tcW w:w="10004"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提供《浙江华艺盛纺织股份有限公司能源</w:t>
            </w:r>
            <w:r>
              <w:rPr>
                <w:rFonts w:hint="eastAsia" w:cs="Times New Roman"/>
                <w:sz w:val="21"/>
                <w:szCs w:val="21"/>
                <w:lang w:val="en-US" w:eastAsia="zh-CN"/>
              </w:rPr>
              <w:t>评审</w:t>
            </w:r>
            <w:r>
              <w:rPr>
                <w:rFonts w:hint="eastAsia" w:ascii="Times New Roman" w:hAnsi="Times New Roman" w:eastAsia="宋体" w:cs="Times New Roman"/>
                <w:sz w:val="21"/>
                <w:szCs w:val="21"/>
                <w:lang w:val="en-US" w:eastAsia="zh-CN"/>
              </w:rPr>
              <w:t>报告》2020年6月：</w:t>
            </w:r>
          </w:p>
          <w:p>
            <w:pPr>
              <w:pStyle w:val="2"/>
              <w:keepNext w:val="0"/>
              <w:keepLines w:val="0"/>
              <w:pageBreakBefore w:val="0"/>
              <w:widowControl w:val="0"/>
              <w:numPr>
                <w:ilvl w:val="1"/>
                <w:numId w:val="0"/>
              </w:numPr>
              <w:kinsoku/>
              <w:wordWrap/>
              <w:overflowPunct/>
              <w:topLinePunct w:val="0"/>
              <w:bidi w:val="0"/>
              <w:snapToGrid/>
              <w:spacing w:before="157" w:beforeLines="50" w:line="240" w:lineRule="auto"/>
              <w:ind w:left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主要描述了企业基本信息（总资产11400万元，创建时间2009年11月）、所属行业C17纺织业，能源管理部门：质检部，单位地址：湖州市南浔区石淙镇镇西工业区588号；等内容</w:t>
            </w:r>
            <w:r>
              <w:rPr>
                <w:rFonts w:hint="eastAsia" w:ascii="Times New Roman" w:hAnsi="Times New Roman" w:eastAsia="宋体" w:cs="Times New Roman"/>
                <w:sz w:val="21"/>
                <w:szCs w:val="21"/>
                <w:lang w:val="en-US" w:eastAsia="zh-CN"/>
              </w:rPr>
              <w:t>。</w:t>
            </w:r>
          </w:p>
          <w:p>
            <w:pPr>
              <w:pStyle w:val="3"/>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2019年</w:t>
            </w:r>
            <w:r>
              <w:rPr>
                <w:rFonts w:hint="eastAsia" w:ascii="Times New Roman" w:hAnsi="Times New Roman" w:eastAsia="宋体" w:cs="Times New Roman"/>
                <w:kern w:val="2"/>
                <w:sz w:val="21"/>
                <w:szCs w:val="21"/>
                <w:lang w:val="en-US" w:eastAsia="zh-CN" w:bidi="ar-SA"/>
              </w:rPr>
              <w:t>能源基准：综合能耗6770吨标煤、产品可比单位综合能耗15kgce/hm：</w:t>
            </w:r>
          </w:p>
          <w:p>
            <w:pPr>
              <w:pStyle w:val="3"/>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能源绩效参数：综合能耗、产品可比单位综合能耗</w:t>
            </w:r>
          </w:p>
          <w:p>
            <w:pPr>
              <w:pStyle w:val="3"/>
              <w:keepNext w:val="0"/>
              <w:keepLines w:val="0"/>
              <w:pageBreakBefore w:val="0"/>
              <w:widowControl w:val="0"/>
              <w:kinsoku/>
              <w:wordWrap/>
              <w:overflowPunct/>
              <w:topLinePunct w:val="0"/>
              <w:bidi w:val="0"/>
              <w:snapToGrid/>
              <w:spacing w:before="157" w:beforeLines="50"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2019能源目标：综合能耗6760吨标煤、产品可比单位综合能耗14.80kgce/hm：</w:t>
            </w:r>
          </w:p>
          <w:p>
            <w:pPr>
              <w:pStyle w:val="3"/>
              <w:keepNext w:val="0"/>
              <w:keepLines w:val="0"/>
              <w:pageBreakBefore w:val="0"/>
              <w:widowControl w:val="0"/>
              <w:kinsoku/>
              <w:wordWrap/>
              <w:overflowPunct/>
              <w:topLinePunct w:val="0"/>
              <w:bidi w:val="0"/>
              <w:snapToGrid/>
              <w:spacing w:before="157" w:beforeLines="50" w:line="24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完成情况：综合能耗6753.19吨标煤、产品可比单位综合能耗14.77kgce/hm：完成。</w:t>
            </w:r>
          </w:p>
          <w:p>
            <w:pPr>
              <w:pStyle w:val="3"/>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2020年能源目标：综合能耗6740吨标煤、产品可比单位综合能耗14.7kgce/hm：</w:t>
            </w:r>
          </w:p>
          <w:p>
            <w:pPr>
              <w:pStyle w:val="3"/>
              <w:keepNext w:val="0"/>
              <w:keepLines w:val="0"/>
              <w:pageBreakBefore w:val="0"/>
              <w:widowControl w:val="0"/>
              <w:kinsoku/>
              <w:wordWrap/>
              <w:overflowPunct/>
              <w:topLinePunct w:val="0"/>
              <w:bidi w:val="0"/>
              <w:snapToGrid/>
              <w:spacing w:before="157" w:beforeLines="50"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1-2月份完成情况：综合能耗6737吨标煤、产品可比单位综合能耗14.5kgce/hm：完成。</w:t>
            </w:r>
          </w:p>
          <w:p>
            <w:pPr>
              <w:pStyle w:val="3"/>
              <w:keepNext w:val="0"/>
              <w:keepLines w:val="0"/>
              <w:pageBreakBefore w:val="0"/>
              <w:widowControl w:val="0"/>
              <w:kinsoku/>
              <w:wordWrap/>
              <w:overflowPunct/>
              <w:topLinePunct w:val="0"/>
              <w:bidi w:val="0"/>
              <w:snapToGrid/>
              <w:spacing w:before="157" w:beforeLines="50"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确定主要能源使用：蒸汽、天然气、电力。</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rPr>
                <w:rFonts w:hint="eastAsia"/>
                <w:sz w:val="21"/>
                <w:szCs w:val="21"/>
                <w:lang w:val="en-US" w:eastAsia="zh-CN"/>
              </w:rPr>
            </w:pPr>
            <w:r>
              <w:rPr>
                <w:rFonts w:hint="eastAsia"/>
                <w:sz w:val="21"/>
                <w:szCs w:val="21"/>
                <w:lang w:val="en-US" w:eastAsia="zh-CN"/>
              </w:rPr>
              <w:t>QEOEn管理体系的运行控制情况</w:t>
            </w:r>
          </w:p>
        </w:tc>
        <w:tc>
          <w:tcPr>
            <w:tcW w:w="960" w:type="dxa"/>
          </w:tcPr>
          <w:p/>
        </w:tc>
        <w:tc>
          <w:tcPr>
            <w:tcW w:w="10004" w:type="dxa"/>
          </w:tcPr>
          <w:p>
            <w:pPr>
              <w:keepNext w:val="0"/>
              <w:keepLines w:val="0"/>
              <w:pageBreakBefore w:val="0"/>
              <w:widowControl w:val="0"/>
              <w:kinsoku/>
              <w:wordWrap/>
              <w:overflowPunct/>
              <w:topLinePunct w:val="0"/>
              <w:autoSpaceDE w:val="0"/>
              <w:autoSpaceDN w:val="0"/>
              <w:bidi w:val="0"/>
              <w:adjustRightInd w:val="0"/>
              <w:snapToGrid/>
              <w:spacing w:before="157" w:beforeLines="50" w:line="240" w:lineRule="auto"/>
              <w:rPr>
                <w:rFonts w:hint="eastAsia"/>
                <w:lang w:val="en-US" w:eastAsia="zh-CN"/>
              </w:rPr>
            </w:pPr>
            <w:r>
              <w:rPr>
                <w:rFonts w:hint="eastAsia"/>
                <w:lang w:val="en-US" w:eastAsia="zh-CN"/>
              </w:rPr>
              <w:t>企业的质量、环境、职业健康安全和能源管理体系在合理策划下，按照要求正常运行。</w:t>
            </w:r>
          </w:p>
          <w:p>
            <w:pPr>
              <w:rPr>
                <w:rFonts w:hint="default"/>
                <w:lang w:val="en-US" w:eastAsia="zh-CN"/>
              </w:rPr>
            </w:pPr>
            <w:r>
              <w:rPr>
                <w:rFonts w:hint="eastAsia"/>
                <w:lang w:val="en-US" w:eastAsia="zh-CN"/>
              </w:rPr>
              <w:t>产品检验有化验室、仪器室、药品室等</w:t>
            </w:r>
          </w:p>
          <w:p>
            <w:pPr>
              <w:ind w:firstLine="420" w:firstLineChars="200"/>
              <w:rPr>
                <w:rFonts w:hint="default"/>
                <w:lang w:val="en-US" w:eastAsia="zh-CN"/>
              </w:rPr>
            </w:pPr>
            <w:r>
              <w:rPr>
                <w:rFonts w:hint="eastAsia"/>
                <w:lang w:val="en-US" w:eastAsia="zh-CN"/>
              </w:rPr>
              <w:t>配置灭火器，有月检记录。</w:t>
            </w:r>
          </w:p>
          <w:p>
            <w:pPr>
              <w:pStyle w:val="4"/>
              <w:ind w:left="0" w:leftChars="0" w:firstLine="0" w:firstLineChars="0"/>
              <w:rPr>
                <w:rFonts w:hint="default"/>
                <w:lang w:val="en-US" w:eastAsia="zh-CN"/>
              </w:rPr>
            </w:pP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 程琴妹         </w:t>
            </w:r>
            <w:r>
              <w:rPr>
                <w:rFonts w:hint="eastAsia"/>
                <w:sz w:val="24"/>
                <w:szCs w:val="24"/>
              </w:rPr>
              <w:t>陪同人员</w:t>
            </w:r>
            <w:r>
              <w:rPr>
                <w:rFonts w:hint="eastAsia"/>
                <w:sz w:val="24"/>
                <w:szCs w:val="24"/>
                <w:lang w:eastAsia="zh-CN"/>
              </w:rPr>
              <w:t>：</w:t>
            </w:r>
            <w:r>
              <w:rPr>
                <w:rFonts w:hint="eastAsia"/>
                <w:sz w:val="24"/>
                <w:szCs w:val="24"/>
                <w:lang w:val="en-US" w:eastAsia="zh-CN"/>
              </w:rPr>
              <w:t>解寿涛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w:t>
            </w:r>
            <w:r>
              <w:rPr>
                <w:rFonts w:hint="eastAsia"/>
                <w:sz w:val="24"/>
                <w:szCs w:val="24"/>
              </w:rPr>
              <w:t>审核时间：</w:t>
            </w:r>
            <w:r>
              <w:rPr>
                <w:rFonts w:hint="eastAsia"/>
                <w:sz w:val="24"/>
                <w:szCs w:val="24"/>
                <w:lang w:val="en-US" w:eastAsia="zh-CN"/>
              </w:rPr>
              <w:t>2021.3.23   15:00-16:00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b/>
                <w:bCs/>
                <w:sz w:val="21"/>
                <w:szCs w:val="21"/>
                <w:u w:val="single"/>
                <w:lang w:val="en-US" w:eastAsia="zh-CN"/>
              </w:rPr>
              <w:t>En:8.1/10.1</w:t>
            </w:r>
            <w:r>
              <w:rPr>
                <w:rFonts w:hint="eastAsia"/>
                <w:b/>
                <w:bCs/>
                <w:sz w:val="21"/>
                <w:szCs w:val="21"/>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tc>
        <w:tc>
          <w:tcPr>
            <w:tcW w:w="960" w:type="dxa"/>
          </w:tcPr>
          <w:p/>
        </w:tc>
        <w:tc>
          <w:tcPr>
            <w:tcW w:w="10004" w:type="dxa"/>
          </w:tcPr>
          <w:p>
            <w:pPr>
              <w:snapToGrid w:val="0"/>
              <w:spacing w:line="280" w:lineRule="exact"/>
              <w:jc w:val="left"/>
              <w:rPr>
                <w:rFonts w:hint="default"/>
                <w:sz w:val="21"/>
                <w:szCs w:val="21"/>
                <w:lang w:val="en-US" w:eastAsia="zh-CN"/>
              </w:rPr>
            </w:pPr>
            <w:r>
              <w:rPr>
                <w:rFonts w:hint="eastAsia"/>
                <w:b/>
                <w:bCs/>
                <w:sz w:val="21"/>
                <w:szCs w:val="21"/>
                <w:lang w:val="en-US" w:eastAsia="zh-CN"/>
              </w:rPr>
              <w:t>生产部</w:t>
            </w:r>
            <w:r>
              <w:rPr>
                <w:rFonts w:hint="eastAsia"/>
                <w:sz w:val="21"/>
                <w:szCs w:val="21"/>
              </w:rPr>
              <w:t>：</w:t>
            </w:r>
          </w:p>
          <w:p>
            <w:pPr>
              <w:rPr>
                <w:rFonts w:hint="eastAsia"/>
                <w:b/>
                <w:bCs/>
                <w:sz w:val="21"/>
                <w:szCs w:val="21"/>
                <w:lang w:val="en-US" w:eastAsia="zh-CN"/>
              </w:rPr>
            </w:pPr>
            <w:r>
              <w:rPr>
                <w:rFonts w:hint="eastAsia"/>
                <w:b/>
                <w:bCs/>
                <w:sz w:val="21"/>
                <w:szCs w:val="21"/>
              </w:rPr>
              <w:t>涉及条款：</w:t>
            </w:r>
            <w:r>
              <w:rPr>
                <w:rFonts w:hint="eastAsia"/>
                <w:b/>
                <w:bCs/>
                <w:sz w:val="21"/>
                <w:szCs w:val="21"/>
                <w:lang w:val="en-US" w:eastAsia="zh-CN"/>
              </w:rPr>
              <w:t>Q:8.5/10.2;  EO</w:t>
            </w:r>
            <w:r>
              <w:rPr>
                <w:rFonts w:hint="eastAsia"/>
                <w:b/>
                <w:bCs/>
                <w:sz w:val="21"/>
                <w:szCs w:val="21"/>
              </w:rPr>
              <w:t xml:space="preserve"> :</w:t>
            </w:r>
            <w:r>
              <w:rPr>
                <w:rFonts w:hint="eastAsia"/>
                <w:b/>
                <w:bCs/>
                <w:sz w:val="21"/>
                <w:szCs w:val="21"/>
                <w:lang w:val="en-US" w:eastAsia="zh-CN"/>
              </w:rPr>
              <w:t xml:space="preserve">8.1/10.2;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生产部能源职责和权限</w:t>
            </w:r>
          </w:p>
        </w:tc>
        <w:tc>
          <w:tcPr>
            <w:tcW w:w="960" w:type="dxa"/>
            <w:vAlign w:val="top"/>
          </w:tcPr>
          <w:p>
            <w:pPr>
              <w:rPr>
                <w:rFonts w:ascii="Times New Roman" w:hAnsi="Times New Roman" w:eastAsia="宋体" w:cs="Times New Roman"/>
                <w:kern w:val="2"/>
                <w:sz w:val="21"/>
                <w:lang w:val="en-US" w:eastAsia="zh-CN" w:bidi="ar-SA"/>
              </w:rPr>
            </w:pPr>
            <w:r>
              <w:rPr>
                <w:rFonts w:hint="eastAsia"/>
                <w:b/>
                <w:bCs/>
                <w:sz w:val="21"/>
                <w:szCs w:val="21"/>
              </w:rPr>
              <w:t>E</w:t>
            </w:r>
            <w:r>
              <w:rPr>
                <w:rFonts w:hint="eastAsia"/>
                <w:b/>
                <w:bCs/>
                <w:sz w:val="21"/>
                <w:szCs w:val="21"/>
                <w:lang w:val="en-US" w:eastAsia="zh-CN"/>
              </w:rPr>
              <w:t>n</w:t>
            </w:r>
            <w:r>
              <w:rPr>
                <w:rFonts w:hint="eastAsia"/>
                <w:b/>
                <w:bCs/>
                <w:sz w:val="21"/>
                <w:szCs w:val="21"/>
              </w:rPr>
              <w:t>:5.3</w:t>
            </w:r>
          </w:p>
        </w:tc>
        <w:tc>
          <w:tcPr>
            <w:tcW w:w="10004" w:type="dxa"/>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部长程琴妹介绍：生产部人员构成：共47人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生产部主要负责生产计划的编制，审批各类能源的采购、加工计划；负责能源运行指标完成情况的统计工作；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负责合理公司生产调度，努力降低能源消耗和损失，提高能源利用率；负责本部门能源管理体系建立实施与运行持续改进；对车间能源使用情况及能源计量装置每月进行排查。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负责收集、识别与车间生产相关的能源管理标准、工艺标准、技术规定等。</w:t>
            </w:r>
          </w:p>
          <w:p>
            <w:pPr>
              <w:rPr>
                <w:rFonts w:hint="eastAsia"/>
                <w:b/>
                <w:bCs/>
                <w:sz w:val="21"/>
                <w:szCs w:val="21"/>
                <w:lang w:val="en-US" w:eastAsia="zh-CN"/>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rPr>
                <w:rFonts w:hint="default" w:eastAsia="宋体"/>
                <w:lang w:val="en-US" w:eastAsia="zh-CN"/>
              </w:rPr>
            </w:pPr>
            <w:r>
              <w:rPr>
                <w:rFonts w:hint="eastAsia"/>
                <w:lang w:val="en-US" w:eastAsia="zh-CN"/>
              </w:rPr>
              <w:t>能源目标指标</w:t>
            </w:r>
          </w:p>
        </w:tc>
        <w:tc>
          <w:tcPr>
            <w:tcW w:w="960" w:type="dxa"/>
          </w:tcPr>
          <w:p>
            <w:pPr>
              <w:rPr>
                <w:rFonts w:hint="eastAsia" w:eastAsia="宋体"/>
                <w:lang w:val="en-US" w:eastAsia="zh-CN"/>
              </w:rPr>
            </w:pPr>
            <w:r>
              <w:rPr>
                <w:rFonts w:hint="eastAsia"/>
                <w:b/>
                <w:bCs/>
                <w:sz w:val="21"/>
                <w:szCs w:val="21"/>
              </w:rPr>
              <w:t>E</w:t>
            </w:r>
            <w:r>
              <w:rPr>
                <w:rFonts w:hint="eastAsia"/>
                <w:b/>
                <w:bCs/>
                <w:sz w:val="21"/>
                <w:szCs w:val="21"/>
                <w:lang w:val="en-US" w:eastAsia="zh-CN"/>
              </w:rPr>
              <w:t>n</w:t>
            </w:r>
            <w:r>
              <w:rPr>
                <w:rFonts w:hint="eastAsia"/>
                <w:b/>
                <w:bCs/>
                <w:sz w:val="21"/>
                <w:szCs w:val="21"/>
              </w:rPr>
              <w:t>:</w:t>
            </w:r>
            <w:r>
              <w:rPr>
                <w:rFonts w:hint="eastAsia"/>
                <w:b/>
                <w:bCs/>
                <w:sz w:val="21"/>
                <w:szCs w:val="21"/>
                <w:lang w:val="en-US" w:eastAsia="zh-CN"/>
              </w:rPr>
              <w:t>6</w:t>
            </w:r>
            <w:r>
              <w:rPr>
                <w:rFonts w:hint="eastAsia"/>
                <w:b/>
                <w:bCs/>
                <w:sz w:val="21"/>
                <w:szCs w:val="21"/>
              </w:rPr>
              <w:t>.</w:t>
            </w:r>
            <w:r>
              <w:rPr>
                <w:rFonts w:hint="eastAsia"/>
                <w:b/>
                <w:bCs/>
                <w:sz w:val="21"/>
                <w:szCs w:val="21"/>
                <w:lang w:val="en-US" w:eastAsia="zh-CN"/>
              </w:rPr>
              <w:t>2</w:t>
            </w:r>
          </w:p>
        </w:tc>
        <w:tc>
          <w:tcPr>
            <w:tcW w:w="10004" w:type="dxa"/>
          </w:tcPr>
          <w:p>
            <w:pPr>
              <w:spacing w:line="360" w:lineRule="auto"/>
              <w:rPr>
                <w:rFonts w:hint="default"/>
                <w:lang w:val="en-US" w:eastAsia="zh-CN"/>
              </w:rPr>
            </w:pPr>
            <w:bookmarkStart w:id="1" w:name="OLE_LINK16"/>
            <w:r>
              <w:rPr>
                <w:rFonts w:hint="eastAsia"/>
                <w:lang w:val="en-US" w:eastAsia="zh-CN"/>
              </w:rPr>
              <w:t>能源目标：该企业没有对能源目</w:t>
            </w:r>
            <w:r>
              <w:rPr>
                <w:rFonts w:hint="eastAsia" w:ascii="Times New Roman" w:hAnsi="Times New Roman" w:eastAsia="宋体" w:cs="Times New Roman"/>
                <w:color w:val="000000"/>
                <w:kern w:val="2"/>
                <w:sz w:val="21"/>
                <w:szCs w:val="21"/>
                <w:lang w:val="en-US" w:eastAsia="zh-CN" w:bidi="ar-SA"/>
              </w:rPr>
              <w:t>标进行分解，以全</w:t>
            </w:r>
            <w:r>
              <w:rPr>
                <w:rFonts w:hint="eastAsia"/>
                <w:lang w:val="en-US" w:eastAsia="zh-CN"/>
              </w:rPr>
              <w:t>厂的指标为准。</w:t>
            </w:r>
          </w:p>
          <w:bookmarkEnd w:id="1"/>
          <w:p>
            <w:pPr>
              <w:pStyle w:val="3"/>
              <w:keepNext w:val="0"/>
              <w:keepLines w:val="0"/>
              <w:pageBreakBefore w:val="0"/>
              <w:widowControl w:val="0"/>
              <w:kinsoku/>
              <w:wordWrap/>
              <w:overflowPunct/>
              <w:topLinePunct w:val="0"/>
              <w:bidi w:val="0"/>
              <w:snapToGrid/>
              <w:spacing w:before="157" w:beforeLines="50"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2020年能源目标：综合能耗6740吨标煤、产品可比单位综合能耗14.7kgce/hm：</w:t>
            </w:r>
          </w:p>
          <w:p>
            <w:pPr>
              <w:pStyle w:val="3"/>
              <w:keepNext w:val="0"/>
              <w:keepLines w:val="0"/>
              <w:pageBreakBefore w:val="0"/>
              <w:widowControl w:val="0"/>
              <w:kinsoku/>
              <w:wordWrap/>
              <w:overflowPunct/>
              <w:topLinePunct w:val="0"/>
              <w:bidi w:val="0"/>
              <w:snapToGrid/>
              <w:spacing w:before="157" w:beforeLines="50" w:line="240" w:lineRule="auto"/>
              <w:rPr>
                <w:rFonts w:hint="default"/>
                <w:b/>
                <w:bCs/>
                <w:sz w:val="21"/>
                <w:szCs w:val="21"/>
                <w:lang w:val="en-US" w:eastAsia="zh-CN"/>
              </w:rPr>
            </w:pPr>
            <w:r>
              <w:rPr>
                <w:rFonts w:hint="eastAsia" w:ascii="Times New Roman" w:hAnsi="Times New Roman" w:eastAsia="宋体" w:cs="Times New Roman"/>
                <w:kern w:val="2"/>
                <w:sz w:val="21"/>
                <w:szCs w:val="21"/>
                <w:lang w:val="en-US" w:eastAsia="zh-CN" w:bidi="ar-SA"/>
              </w:rPr>
              <w:t>1-2月份完成情况：</w:t>
            </w:r>
            <w:r>
              <w:rPr>
                <w:rFonts w:hint="eastAsia" w:ascii="Times New Roman" w:hAnsi="Times New Roman" w:eastAsia="宋体" w:cs="Times New Roman"/>
                <w:color w:val="000000"/>
                <w:kern w:val="2"/>
                <w:sz w:val="21"/>
                <w:szCs w:val="21"/>
                <w:lang w:val="en-US" w:eastAsia="zh-CN" w:bidi="ar-SA"/>
              </w:rPr>
              <w:t>综合能耗6737吨标煤、产品可比单位综合能耗14.5kgce/hm：完成</w:t>
            </w:r>
            <w:r>
              <w:rPr>
                <w:rFonts w:hint="eastAsia" w:ascii="Times New Roman" w:hAnsi="Times New Roman" w:eastAsia="宋体" w:cs="Times New Roman"/>
                <w:kern w:val="2"/>
                <w:sz w:val="21"/>
                <w:szCs w:val="21"/>
                <w:lang w:val="en-US" w:eastAsia="zh-CN" w:bidi="ar-SA"/>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napToGrid w:val="0"/>
              <w:spacing w:line="280" w:lineRule="exact"/>
              <w:jc w:val="left"/>
            </w:pPr>
            <w:r>
              <w:rPr>
                <w:rFonts w:hint="eastAsia"/>
                <w:sz w:val="21"/>
                <w:szCs w:val="21"/>
                <w:lang w:val="en-US" w:eastAsia="zh-CN"/>
              </w:rPr>
              <w:t>管理体系运行控制情况，不符合纠正和持续改进情况</w:t>
            </w:r>
          </w:p>
        </w:tc>
        <w:tc>
          <w:tcPr>
            <w:tcW w:w="960" w:type="dxa"/>
          </w:tcPr>
          <w:p>
            <w:pPr>
              <w:rPr>
                <w:rFonts w:hint="default" w:eastAsia="宋体"/>
                <w:lang w:val="en-US" w:eastAsia="zh-CN"/>
              </w:rPr>
            </w:pPr>
            <w:r>
              <w:rPr>
                <w:rFonts w:hint="eastAsia" w:ascii="Times New Roman" w:hAnsi="Times New Roman" w:eastAsia="宋体" w:cs="Times New Roman"/>
                <w:b/>
                <w:bCs/>
                <w:sz w:val="21"/>
                <w:szCs w:val="21"/>
                <w:lang w:val="en-US" w:eastAsia="zh-CN"/>
              </w:rPr>
              <w:t>QEOEn8.1/10.2</w:t>
            </w:r>
          </w:p>
        </w:tc>
        <w:tc>
          <w:tcPr>
            <w:tcW w:w="10004" w:type="dxa"/>
          </w:tcPr>
          <w:p>
            <w:pPr>
              <w:rPr>
                <w:rFonts w:hint="default" w:eastAsia="宋体"/>
                <w:lang w:val="en-US" w:eastAsia="zh-CN"/>
              </w:rPr>
            </w:pPr>
            <w:r>
              <w:rPr>
                <w:rFonts w:hint="eastAsia"/>
                <w:lang w:val="en-US" w:eastAsia="zh-CN"/>
              </w:rPr>
              <w:t>内审不符合已纠正，日常检查的问题已整改。</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snapToGrid w:val="0"/>
              <w:spacing w:line="280" w:lineRule="exact"/>
              <w:jc w:val="left"/>
              <w:rPr>
                <w:rFonts w:hint="default"/>
                <w:sz w:val="21"/>
                <w:szCs w:val="21"/>
                <w:lang w:val="en-US" w:eastAsia="zh-CN"/>
              </w:rPr>
            </w:pPr>
            <w:r>
              <w:rPr>
                <w:rFonts w:hint="eastAsia"/>
                <w:sz w:val="21"/>
                <w:szCs w:val="21"/>
                <w:lang w:val="en-US" w:eastAsia="zh-CN"/>
              </w:rPr>
              <w:t>现场巡视管理情况</w:t>
            </w:r>
          </w:p>
          <w:p/>
        </w:tc>
        <w:tc>
          <w:tcPr>
            <w:tcW w:w="960" w:type="dxa"/>
          </w:tcPr>
          <w:p/>
        </w:tc>
        <w:tc>
          <w:tcPr>
            <w:tcW w:w="10004" w:type="dxa"/>
          </w:tcPr>
          <w:p>
            <w:pPr>
              <w:keepNext w:val="0"/>
              <w:keepLines w:val="0"/>
              <w:pageBreakBefore w:val="0"/>
              <w:widowControl w:val="0"/>
              <w:kinsoku/>
              <w:wordWrap/>
              <w:overflowPunct/>
              <w:topLinePunct w:val="0"/>
              <w:autoSpaceDE/>
              <w:autoSpaceDN/>
              <w:bidi w:val="0"/>
              <w:snapToGrid/>
              <w:spacing w:before="157" w:beforeLines="50" w:line="240" w:lineRule="auto"/>
              <w:rPr>
                <w:rFonts w:hint="eastAsia"/>
                <w:lang w:val="en-US" w:eastAsia="zh-CN"/>
              </w:rPr>
            </w:pPr>
            <w:r>
              <w:rPr>
                <w:rFonts w:hint="eastAsia" w:ascii="Times New Roman" w:hAnsi="Times New Roman" w:eastAsia="宋体" w:cs="Times New Roman"/>
                <w:kern w:val="2"/>
                <w:sz w:val="21"/>
                <w:szCs w:val="22"/>
                <w:lang w:val="en-US" w:eastAsia="zh-CN" w:bidi="ar-SA"/>
              </w:rPr>
              <w:t>查看企业生产现场：生产车间</w:t>
            </w:r>
            <w:r>
              <w:rPr>
                <w:rFonts w:hint="eastAsia"/>
                <w:lang w:val="en-US" w:eastAsia="zh-CN"/>
              </w:rPr>
              <w:t>分胚布车间</w:t>
            </w:r>
            <w:r>
              <w:rPr>
                <w:rFonts w:hint="eastAsia"/>
                <w:szCs w:val="22"/>
                <w:lang w:val="en-US" w:eastAsia="zh-CN"/>
              </w:rPr>
              <w:t>和围巾、丝巾的坯布染色定型等生产过程</w:t>
            </w:r>
            <w:r>
              <w:rPr>
                <w:rFonts w:hint="eastAsia"/>
                <w:lang w:val="en-US" w:eastAsia="zh-CN"/>
              </w:rPr>
              <w:t>；分为坯布生产和染色两个场所，胚布车间为善琏镇含山富祥路288号，</w:t>
            </w:r>
            <w:r>
              <w:rPr>
                <w:rFonts w:hint="eastAsia"/>
                <w:szCs w:val="22"/>
                <w:lang w:val="en-US" w:eastAsia="zh-CN"/>
              </w:rPr>
              <w:t>染色生产车</w:t>
            </w:r>
            <w:r>
              <w:rPr>
                <w:rFonts w:hint="eastAsia"/>
                <w:lang w:val="en-US" w:eastAsia="zh-CN"/>
              </w:rPr>
              <w:t>间为石淙镇镇西工业园区588号。现场的染缸为压力容器，使用的是蒸汽，烘干定型设备使用的天然气，现场的机泵及相关转动设备使用的是电力，都是主要能源，现场的主要能源使用有跑冒现象，地面现场杂乱，环境较差。</w:t>
            </w:r>
          </w:p>
          <w:p>
            <w:pPr>
              <w:keepNext w:val="0"/>
              <w:keepLines w:val="0"/>
              <w:pageBreakBefore w:val="0"/>
              <w:widowControl w:val="0"/>
              <w:kinsoku/>
              <w:wordWrap/>
              <w:overflowPunct/>
              <w:topLinePunct w:val="0"/>
              <w:autoSpaceDE/>
              <w:autoSpaceDN/>
              <w:bidi w:val="0"/>
              <w:snapToGrid/>
              <w:spacing w:before="157" w:beforeLines="50" w:line="240" w:lineRule="auto"/>
            </w:pPr>
            <w:r>
              <w:rPr>
                <w:rFonts w:hint="eastAsia"/>
                <w:lang w:val="en-US" w:eastAsia="zh-CN"/>
              </w:rPr>
              <w:t>配电室装有锁，专人保管；内有绝缘棒等电力安全设施。</w:t>
            </w:r>
          </w:p>
        </w:tc>
        <w:tc>
          <w:tcPr>
            <w:tcW w:w="1585" w:type="dxa"/>
          </w:tcPr>
          <w:p>
            <w:pPr>
              <w:rPr>
                <w:rFonts w:hint="eastAsia" w:eastAsia="宋体"/>
                <w:lang w:val="en-US" w:eastAsia="zh-CN"/>
              </w:rPr>
            </w:pPr>
            <w:r>
              <w:rPr>
                <w:rFonts w:hint="eastAsia"/>
                <w:lang w:val="en-US" w:eastAsia="zh-CN"/>
              </w:rPr>
              <w:t>Y</w:t>
            </w:r>
            <w:bookmarkStart w:id="2" w:name="_GoBack"/>
            <w:bookmarkEnd w:id="2"/>
          </w:p>
        </w:tc>
      </w:tr>
    </w:tbl>
    <w:p>
      <w:r>
        <w:ptab w:relativeTo="margin" w:alignment="center" w:leader="none"/>
      </w:r>
    </w:p>
    <w:p>
      <w:pPr>
        <w:pStyle w:val="6"/>
      </w:pPr>
      <w:r>
        <w:rPr>
          <w:rFonts w:hint="eastAsia"/>
        </w:rPr>
        <w:t>说明：不符合标注N</w:t>
      </w:r>
    </w:p>
    <w:p>
      <w:pPr>
        <w:pStyle w:val="6"/>
        <w:rPr>
          <w:rFonts w:hint="eastAsia"/>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1"/>
    <w:multiLevelType w:val="multilevel"/>
    <w:tmpl w:val="00000041"/>
    <w:lvl w:ilvl="0" w:tentative="0">
      <w:start w:val="1"/>
      <w:numFmt w:val="chineseCountingThousand"/>
      <w:isLgl/>
      <w:lvlText w:val="%1  "/>
      <w:lvlJc w:val="left"/>
      <w:pPr>
        <w:tabs>
          <w:tab w:val="left" w:pos="720"/>
        </w:tabs>
        <w:ind w:left="0" w:firstLine="0"/>
      </w:pPr>
      <w:rPr>
        <w:rFonts w:hint="eastAsia"/>
      </w:rPr>
    </w:lvl>
    <w:lvl w:ilvl="1" w:tentative="0">
      <w:start w:val="1"/>
      <w:numFmt w:val="decimal"/>
      <w:pStyle w:val="2"/>
      <w:isLgl/>
      <w:lvlText w:val="%1.%2"/>
      <w:lvlJc w:val="left"/>
      <w:pPr>
        <w:tabs>
          <w:tab w:val="left" w:pos="720"/>
        </w:tabs>
        <w:ind w:left="0" w:firstLine="0"/>
      </w:pPr>
      <w:rPr>
        <w:rFonts w:hint="eastAsia"/>
      </w:rPr>
    </w:lvl>
    <w:lvl w:ilvl="2" w:tentative="0">
      <w:start w:val="1"/>
      <w:numFmt w:val="decimal"/>
      <w:isLgl/>
      <w:lvlText w:val="%1.%2.%3"/>
      <w:lvlJc w:val="left"/>
      <w:pPr>
        <w:tabs>
          <w:tab w:val="left" w:pos="1080"/>
        </w:tabs>
        <w:ind w:left="0" w:firstLine="0"/>
      </w:pPr>
      <w:rPr>
        <w:rFonts w:hint="eastAsia"/>
      </w:rPr>
    </w:lvl>
    <w:lvl w:ilvl="3" w:tentative="0">
      <w:start w:val="1"/>
      <w:numFmt w:val="decimal"/>
      <w:isLgl/>
      <w:lvlText w:val="%1.%2.%3.%4"/>
      <w:lvlJc w:val="left"/>
      <w:pPr>
        <w:tabs>
          <w:tab w:val="left" w:pos="1440"/>
        </w:tabs>
        <w:ind w:left="0" w:firstLine="0"/>
      </w:pPr>
      <w:rPr>
        <w:rFonts w:hint="eastAsia"/>
      </w:rPr>
    </w:lvl>
    <w:lvl w:ilvl="4" w:tentative="0">
      <w:start w:val="1"/>
      <w:numFmt w:val="decimal"/>
      <w:isLgl/>
      <w:lvlText w:val="%1.%2.%3.%4.%5"/>
      <w:lvlJc w:val="left"/>
      <w:pPr>
        <w:tabs>
          <w:tab w:val="left" w:pos="180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1A1359"/>
    <w:rsid w:val="06253064"/>
    <w:rsid w:val="09476D22"/>
    <w:rsid w:val="09EA51E1"/>
    <w:rsid w:val="125F56E8"/>
    <w:rsid w:val="22AF307D"/>
    <w:rsid w:val="25E02F7A"/>
    <w:rsid w:val="28441F06"/>
    <w:rsid w:val="34E23B1E"/>
    <w:rsid w:val="388823EC"/>
    <w:rsid w:val="3D3F195F"/>
    <w:rsid w:val="436E39D7"/>
    <w:rsid w:val="566C2BCF"/>
    <w:rsid w:val="58EB60EB"/>
    <w:rsid w:val="640D1E22"/>
    <w:rsid w:val="68693EAA"/>
    <w:rsid w:val="6A4C507F"/>
    <w:rsid w:val="71260AAB"/>
    <w:rsid w:val="74472668"/>
    <w:rsid w:val="75C3516B"/>
    <w:rsid w:val="76992714"/>
    <w:rsid w:val="799F36DD"/>
    <w:rsid w:val="7CD36DF9"/>
    <w:rsid w:val="7E0F20F3"/>
    <w:rsid w:val="7F49417D"/>
    <w:rsid w:val="7F9D6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numPr>
        <w:ilvl w:val="1"/>
        <w:numId w:val="1"/>
      </w:numPr>
      <w:adjustRightInd w:val="0"/>
      <w:spacing w:line="360" w:lineRule="auto"/>
      <w:jc w:val="left"/>
      <w:textAlignment w:val="baseline"/>
      <w:outlineLvl w:val="1"/>
    </w:pPr>
    <w:rPr>
      <w:rFonts w:ascii="Arial" w:hAnsi="Arial"/>
      <w:kern w:val="28"/>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jc w:val="left"/>
    </w:pPr>
    <w:rPr>
      <w:rFonts w:ascii="宋体"/>
      <w:color w:val="000000"/>
      <w:kern w:val="0"/>
      <w:sz w:val="24"/>
    </w:rPr>
  </w:style>
  <w:style w:type="paragraph" w:styleId="4">
    <w:name w:val="Normal Indent"/>
    <w:basedOn w:val="1"/>
    <w:qFormat/>
    <w:uiPriority w:val="99"/>
    <w:pPr>
      <w:spacing w:before="50" w:after="50" w:line="360" w:lineRule="auto"/>
      <w:ind w:firstLine="200" w:firstLineChars="200"/>
    </w:p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二级条标题"/>
    <w:basedOn w:val="15"/>
    <w:next w:val="1"/>
    <w:qFormat/>
    <w:uiPriority w:val="0"/>
    <w:pPr>
      <w:tabs>
        <w:tab w:val="left" w:pos="720"/>
      </w:tabs>
      <w:ind w:left="0" w:firstLine="0"/>
      <w:outlineLvl w:val="3"/>
    </w:pPr>
    <w:rPr>
      <w:rFonts w:hint="default"/>
    </w:rPr>
  </w:style>
  <w:style w:type="paragraph" w:customStyle="1" w:styleId="15">
    <w:name w:val="一级条标题"/>
    <w:basedOn w:val="1"/>
    <w:next w:val="1"/>
    <w:qFormat/>
    <w:uiPriority w:val="0"/>
    <w:pPr>
      <w:widowControl/>
      <w:tabs>
        <w:tab w:val="left" w:pos="720"/>
      </w:tabs>
      <w:ind w:left="720" w:hanging="720"/>
      <w:outlineLvl w:val="2"/>
    </w:pPr>
    <w:rPr>
      <w:rFonts w:hint="eastAsia" w:ascii="黑体"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2021-03-26T10:31:57Z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