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360" w:lineRule="exact"/>
        <w:jc w:val="center"/>
        <w:rPr>
          <w:rFonts w:ascii="宋体"/>
          <w:b/>
          <w:sz w:val="18"/>
          <w:szCs w:val="18"/>
        </w:rPr>
      </w:pPr>
      <w:r>
        <w:rPr>
          <w:rFonts w:hint="eastAsia" w:ascii="宋体" w:hAnsi="宋体"/>
          <w:b/>
          <w:sz w:val="30"/>
          <w:szCs w:val="30"/>
        </w:rPr>
        <w:t>专业培训记录</w:t>
      </w:r>
    </w:p>
    <w:p>
      <w:pPr>
        <w:snapToGrid w:val="0"/>
        <w:spacing w:after="120" w:afterLines="50" w:line="320" w:lineRule="exact"/>
        <w:jc w:val="center"/>
        <w:rPr>
          <w:rFonts w:eastAsia="隶书"/>
          <w:b/>
          <w:sz w:val="22"/>
          <w:szCs w:val="22"/>
        </w:rPr>
      </w:pPr>
      <w:bookmarkStart w:id="0" w:name="勾选"/>
      <w:bookmarkStart w:id="1" w:name="Q勾选"/>
      <w:r>
        <w:rPr>
          <w:rFonts w:hint="eastAsia"/>
          <w:b/>
          <w:sz w:val="22"/>
          <w:szCs w:val="22"/>
        </w:rPr>
        <w:t>■</w:t>
      </w:r>
      <w:bookmarkEnd w:id="0"/>
      <w:bookmarkEnd w:id="1"/>
      <w:r>
        <w:rPr>
          <w:b/>
          <w:sz w:val="22"/>
          <w:szCs w:val="22"/>
        </w:rPr>
        <w:t xml:space="preserve">QMS  </w:t>
      </w:r>
      <w:bookmarkStart w:id="2" w:name="E勾选"/>
      <w:r>
        <w:rPr>
          <w:rFonts w:hint="eastAsia"/>
          <w:b/>
          <w:sz w:val="22"/>
          <w:szCs w:val="22"/>
        </w:rPr>
        <w:t>■</w:t>
      </w:r>
      <w:bookmarkEnd w:id="2"/>
      <w:r>
        <w:rPr>
          <w:b/>
          <w:sz w:val="22"/>
          <w:szCs w:val="22"/>
        </w:rPr>
        <w:t xml:space="preserve">EMS  </w:t>
      </w:r>
      <w:bookmarkStart w:id="3" w:name="S勾选"/>
      <w:r>
        <w:rPr>
          <w:rFonts w:hint="eastAsia"/>
          <w:b/>
          <w:sz w:val="22"/>
          <w:szCs w:val="22"/>
        </w:rPr>
        <w:t>■</w:t>
      </w:r>
      <w:bookmarkEnd w:id="3"/>
      <w:r>
        <w:rPr>
          <w:b/>
          <w:sz w:val="22"/>
          <w:szCs w:val="22"/>
        </w:rPr>
        <w:t>OHSMS</w:t>
      </w:r>
      <w:r>
        <w:rPr>
          <w:rFonts w:hint="eastAsia"/>
          <w:b/>
          <w:sz w:val="22"/>
          <w:szCs w:val="22"/>
          <w:lang w:val="en-US" w:eastAsia="zh-CN"/>
        </w:rPr>
        <w:t xml:space="preserve">  </w:t>
      </w:r>
      <w:r>
        <w:rPr>
          <w:rFonts w:hint="eastAsia"/>
          <w:b/>
          <w:sz w:val="22"/>
          <w:szCs w:val="22"/>
        </w:rPr>
        <w:t>■</w:t>
      </w:r>
      <w:r>
        <w:rPr>
          <w:b/>
          <w:sz w:val="22"/>
          <w:szCs w:val="22"/>
        </w:rPr>
        <w:t>E</w:t>
      </w:r>
      <w:r>
        <w:rPr>
          <w:rFonts w:hint="eastAsia"/>
          <w:b/>
          <w:sz w:val="22"/>
          <w:szCs w:val="22"/>
          <w:lang w:val="en-US" w:eastAsia="zh-CN"/>
        </w:rPr>
        <w:t>n</w:t>
      </w:r>
      <w:r>
        <w:rPr>
          <w:b/>
          <w:sz w:val="22"/>
          <w:szCs w:val="22"/>
        </w:rPr>
        <w:t xml:space="preserve">MS </w:t>
      </w:r>
    </w:p>
    <w:tbl>
      <w:tblPr>
        <w:tblStyle w:val="7"/>
        <w:tblW w:w="106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340"/>
        <w:gridCol w:w="2045"/>
        <w:gridCol w:w="1493"/>
        <w:gridCol w:w="1787"/>
        <w:gridCol w:w="1627"/>
        <w:gridCol w:w="14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2249" w:type="dxa"/>
            <w:gridSpan w:val="2"/>
            <w:tcBorders>
              <w:top w:val="single" w:color="auto" w:sz="8" w:space="0"/>
            </w:tcBorders>
            <w:vAlign w:val="center"/>
          </w:tcPr>
          <w:p>
            <w:pPr>
              <w:snapToGrid w:val="0"/>
              <w:spacing w:line="280" w:lineRule="exact"/>
              <w:jc w:val="center"/>
              <w:rPr>
                <w:b/>
                <w:sz w:val="22"/>
                <w:szCs w:val="22"/>
              </w:rPr>
            </w:pPr>
            <w:r>
              <w:rPr>
                <w:rFonts w:hint="eastAsia"/>
                <w:b/>
                <w:sz w:val="22"/>
                <w:szCs w:val="22"/>
              </w:rPr>
              <w:t>受审核方</w:t>
            </w:r>
          </w:p>
        </w:tc>
        <w:tc>
          <w:tcPr>
            <w:tcW w:w="3538" w:type="dxa"/>
            <w:gridSpan w:val="2"/>
            <w:tcBorders>
              <w:top w:val="single" w:color="auto" w:sz="8" w:space="0"/>
            </w:tcBorders>
            <w:vAlign w:val="center"/>
          </w:tcPr>
          <w:p>
            <w:pPr>
              <w:snapToGrid w:val="0"/>
              <w:spacing w:line="280" w:lineRule="exact"/>
              <w:jc w:val="center"/>
              <w:rPr>
                <w:b/>
                <w:sz w:val="20"/>
              </w:rPr>
            </w:pPr>
            <w:bookmarkStart w:id="4" w:name="组织名称"/>
            <w:r>
              <w:rPr>
                <w:rFonts w:hint="eastAsia"/>
                <w:b/>
                <w:sz w:val="22"/>
                <w:szCs w:val="22"/>
              </w:rPr>
              <w:t>浙江华艺盛纺织股份有限公司</w:t>
            </w:r>
            <w:bookmarkEnd w:id="4"/>
          </w:p>
        </w:tc>
        <w:tc>
          <w:tcPr>
            <w:tcW w:w="1787" w:type="dxa"/>
            <w:tcBorders>
              <w:top w:val="single" w:color="auto" w:sz="8" w:space="0"/>
            </w:tcBorders>
            <w:vAlign w:val="center"/>
          </w:tcPr>
          <w:p>
            <w:pPr>
              <w:snapToGrid w:val="0"/>
              <w:spacing w:line="280" w:lineRule="exact"/>
              <w:ind w:left="52"/>
              <w:jc w:val="center"/>
              <w:rPr>
                <w:b/>
                <w:sz w:val="22"/>
                <w:szCs w:val="22"/>
              </w:rPr>
            </w:pPr>
            <w:r>
              <w:rPr>
                <w:rFonts w:hint="eastAsia"/>
                <w:b/>
                <w:sz w:val="22"/>
                <w:szCs w:val="22"/>
              </w:rPr>
              <w:t>专业小类</w:t>
            </w:r>
            <w:r>
              <w:rPr>
                <w:b/>
                <w:sz w:val="22"/>
                <w:szCs w:val="22"/>
              </w:rPr>
              <w:t>/</w:t>
            </w:r>
          </w:p>
          <w:p>
            <w:pPr>
              <w:snapToGrid w:val="0"/>
              <w:spacing w:line="280" w:lineRule="exact"/>
              <w:ind w:left="52"/>
              <w:jc w:val="center"/>
              <w:rPr>
                <w:b/>
                <w:sz w:val="22"/>
                <w:szCs w:val="22"/>
              </w:rPr>
            </w:pPr>
            <w:r>
              <w:rPr>
                <w:rFonts w:hint="eastAsia"/>
                <w:b/>
                <w:sz w:val="22"/>
                <w:szCs w:val="22"/>
              </w:rPr>
              <w:t>项目代码</w:t>
            </w:r>
          </w:p>
        </w:tc>
        <w:tc>
          <w:tcPr>
            <w:tcW w:w="3099" w:type="dxa"/>
            <w:gridSpan w:val="2"/>
            <w:tcBorders>
              <w:top w:val="single" w:color="auto" w:sz="8" w:space="0"/>
            </w:tcBorders>
            <w:vAlign w:val="center"/>
          </w:tcPr>
          <w:p>
            <w:pPr>
              <w:snapToGrid w:val="0"/>
              <w:spacing w:line="280" w:lineRule="exact"/>
              <w:ind w:left="52"/>
              <w:jc w:val="center"/>
              <w:rPr>
                <w:b/>
                <w:sz w:val="20"/>
              </w:rPr>
            </w:pPr>
            <w:bookmarkStart w:id="5" w:name="专业代码"/>
            <w:r>
              <w:rPr>
                <w:b/>
                <w:sz w:val="20"/>
              </w:rPr>
              <w:t>Q：</w:t>
            </w:r>
            <w:r>
              <w:rPr>
                <w:rFonts w:hint="eastAsia"/>
                <w:b/>
                <w:sz w:val="20"/>
                <w:lang w:val="en-US" w:eastAsia="zh-CN"/>
              </w:rPr>
              <w:t>04</w:t>
            </w:r>
            <w:r>
              <w:rPr>
                <w:b/>
                <w:sz w:val="20"/>
              </w:rPr>
              <w:t>.0</w:t>
            </w:r>
            <w:r>
              <w:rPr>
                <w:rFonts w:hint="eastAsia"/>
                <w:b/>
                <w:sz w:val="20"/>
                <w:lang w:val="en-US" w:eastAsia="zh-CN"/>
              </w:rPr>
              <w:t>2</w:t>
            </w:r>
            <w:r>
              <w:rPr>
                <w:b/>
                <w:sz w:val="20"/>
              </w:rPr>
              <w:t>.0</w:t>
            </w:r>
            <w:r>
              <w:rPr>
                <w:rFonts w:hint="eastAsia"/>
                <w:b/>
                <w:sz w:val="20"/>
                <w:lang w:val="en-US" w:eastAsia="zh-CN"/>
              </w:rPr>
              <w:t>0</w:t>
            </w:r>
          </w:p>
          <w:p>
            <w:pPr>
              <w:snapToGrid w:val="0"/>
              <w:spacing w:line="280" w:lineRule="exact"/>
              <w:ind w:left="52"/>
              <w:jc w:val="center"/>
              <w:rPr>
                <w:b/>
                <w:sz w:val="20"/>
              </w:rPr>
            </w:pPr>
            <w:r>
              <w:rPr>
                <w:b/>
                <w:sz w:val="20"/>
              </w:rPr>
              <w:t>E：</w:t>
            </w:r>
            <w:r>
              <w:rPr>
                <w:rFonts w:hint="eastAsia"/>
                <w:b/>
                <w:sz w:val="20"/>
                <w:lang w:val="en-US" w:eastAsia="zh-CN"/>
              </w:rPr>
              <w:t>04</w:t>
            </w:r>
            <w:r>
              <w:rPr>
                <w:b/>
                <w:sz w:val="20"/>
              </w:rPr>
              <w:t>.0</w:t>
            </w:r>
            <w:r>
              <w:rPr>
                <w:rFonts w:hint="eastAsia"/>
                <w:b/>
                <w:sz w:val="20"/>
                <w:lang w:val="en-US" w:eastAsia="zh-CN"/>
              </w:rPr>
              <w:t>2</w:t>
            </w:r>
            <w:r>
              <w:rPr>
                <w:b/>
                <w:sz w:val="20"/>
              </w:rPr>
              <w:t>.0</w:t>
            </w:r>
            <w:r>
              <w:rPr>
                <w:rFonts w:hint="eastAsia"/>
                <w:b/>
                <w:sz w:val="20"/>
                <w:lang w:val="en-US" w:eastAsia="zh-CN"/>
              </w:rPr>
              <w:t>0</w:t>
            </w:r>
          </w:p>
          <w:p>
            <w:pPr>
              <w:snapToGrid w:val="0"/>
              <w:spacing w:line="280" w:lineRule="exact"/>
              <w:ind w:left="52"/>
              <w:jc w:val="center"/>
              <w:rPr>
                <w:b/>
                <w:sz w:val="20"/>
              </w:rPr>
            </w:pPr>
            <w:r>
              <w:rPr>
                <w:b/>
                <w:sz w:val="20"/>
              </w:rPr>
              <w:t>O：</w:t>
            </w:r>
            <w:r>
              <w:rPr>
                <w:rFonts w:hint="eastAsia"/>
                <w:b/>
                <w:sz w:val="20"/>
                <w:lang w:val="en-US" w:eastAsia="zh-CN"/>
              </w:rPr>
              <w:t>04</w:t>
            </w:r>
            <w:r>
              <w:rPr>
                <w:b/>
                <w:sz w:val="20"/>
              </w:rPr>
              <w:t>.0</w:t>
            </w:r>
            <w:r>
              <w:rPr>
                <w:rFonts w:hint="eastAsia"/>
                <w:b/>
                <w:sz w:val="20"/>
                <w:lang w:val="en-US" w:eastAsia="zh-CN"/>
              </w:rPr>
              <w:t>2</w:t>
            </w:r>
            <w:r>
              <w:rPr>
                <w:b/>
                <w:sz w:val="20"/>
              </w:rPr>
              <w:t>.0</w:t>
            </w:r>
            <w:r>
              <w:rPr>
                <w:rFonts w:hint="eastAsia"/>
                <w:b/>
                <w:sz w:val="20"/>
                <w:lang w:val="en-US" w:eastAsia="zh-CN"/>
              </w:rPr>
              <w:t>0</w:t>
            </w:r>
          </w:p>
          <w:p>
            <w:pPr>
              <w:snapToGrid w:val="0"/>
              <w:spacing w:line="280" w:lineRule="exact"/>
              <w:ind w:left="52"/>
              <w:jc w:val="center"/>
              <w:rPr>
                <w:rFonts w:hint="eastAsia" w:eastAsia="宋体"/>
                <w:b/>
                <w:sz w:val="20"/>
                <w:lang w:val="en-US" w:eastAsia="zh-CN"/>
              </w:rPr>
            </w:pPr>
            <w:r>
              <w:rPr>
                <w:b/>
                <w:sz w:val="20"/>
              </w:rPr>
              <w:t>En：2.</w:t>
            </w:r>
            <w:bookmarkEnd w:id="5"/>
            <w:r>
              <w:rPr>
                <w:rFonts w:hint="eastAsia"/>
                <w:b/>
                <w:sz w:val="20"/>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2249" w:type="dxa"/>
            <w:gridSpan w:val="2"/>
            <w:vAlign w:val="center"/>
          </w:tcPr>
          <w:p>
            <w:pPr>
              <w:snapToGrid w:val="0"/>
              <w:spacing w:line="280" w:lineRule="exact"/>
              <w:jc w:val="center"/>
              <w:rPr>
                <w:b/>
                <w:sz w:val="22"/>
                <w:szCs w:val="22"/>
              </w:rPr>
            </w:pPr>
            <w:r>
              <w:rPr>
                <w:rFonts w:hint="eastAsia"/>
                <w:b/>
                <w:sz w:val="22"/>
                <w:szCs w:val="22"/>
              </w:rPr>
              <w:t>教师姓名</w:t>
            </w:r>
          </w:p>
        </w:tc>
        <w:tc>
          <w:tcPr>
            <w:tcW w:w="2045" w:type="dxa"/>
            <w:vAlign w:val="center"/>
          </w:tcPr>
          <w:p>
            <w:pPr>
              <w:snapToGrid w:val="0"/>
              <w:spacing w:line="280" w:lineRule="exact"/>
              <w:jc w:val="center"/>
              <w:rPr>
                <w:rFonts w:hint="default"/>
                <w:b/>
                <w:sz w:val="20"/>
                <w:lang w:val="en-US" w:eastAsia="zh-CN"/>
              </w:rPr>
            </w:pPr>
            <w:r>
              <w:rPr>
                <w:rFonts w:hint="eastAsia"/>
                <w:b/>
                <w:sz w:val="20"/>
                <w:lang w:val="en-US" w:eastAsia="zh-CN"/>
              </w:rPr>
              <w:t>李丽英</w:t>
            </w:r>
          </w:p>
        </w:tc>
        <w:tc>
          <w:tcPr>
            <w:tcW w:w="1493" w:type="dxa"/>
            <w:vAlign w:val="center"/>
          </w:tcPr>
          <w:p>
            <w:pPr>
              <w:snapToGrid w:val="0"/>
              <w:spacing w:line="280" w:lineRule="exact"/>
              <w:jc w:val="center"/>
              <w:rPr>
                <w:b/>
                <w:sz w:val="22"/>
                <w:szCs w:val="22"/>
              </w:rPr>
            </w:pPr>
            <w:r>
              <w:rPr>
                <w:rFonts w:hint="eastAsia"/>
                <w:b/>
                <w:sz w:val="22"/>
                <w:szCs w:val="22"/>
              </w:rPr>
              <w:t>专业</w:t>
            </w:r>
          </w:p>
        </w:tc>
        <w:tc>
          <w:tcPr>
            <w:tcW w:w="1787" w:type="dxa"/>
            <w:vAlign w:val="center"/>
          </w:tcPr>
          <w:p>
            <w:pPr>
              <w:snapToGrid w:val="0"/>
              <w:spacing w:line="360" w:lineRule="exact"/>
              <w:jc w:val="center"/>
              <w:rPr>
                <w:rFonts w:hint="eastAsia"/>
                <w:b/>
                <w:sz w:val="20"/>
                <w:lang w:val="en-US" w:eastAsia="zh-CN"/>
              </w:rPr>
            </w:pPr>
            <w:r>
              <w:rPr>
                <w:rFonts w:hint="eastAsia"/>
                <w:b/>
                <w:sz w:val="20"/>
                <w:lang w:val="en-US" w:eastAsia="zh-CN"/>
              </w:rPr>
              <w:t>QES:04</w:t>
            </w:r>
            <w:r>
              <w:rPr>
                <w:b/>
                <w:sz w:val="20"/>
              </w:rPr>
              <w:t>.</w:t>
            </w:r>
            <w:r>
              <w:rPr>
                <w:rFonts w:hint="eastAsia"/>
                <w:b/>
                <w:sz w:val="20"/>
                <w:lang w:val="en-US" w:eastAsia="zh-CN"/>
              </w:rPr>
              <w:t>02</w:t>
            </w:r>
            <w:r>
              <w:rPr>
                <w:b/>
                <w:sz w:val="20"/>
              </w:rPr>
              <w:t>.0</w:t>
            </w:r>
            <w:r>
              <w:rPr>
                <w:rFonts w:hint="eastAsia"/>
                <w:b/>
                <w:sz w:val="20"/>
                <w:lang w:val="en-US" w:eastAsia="zh-CN"/>
              </w:rPr>
              <w:t>0</w:t>
            </w:r>
          </w:p>
          <w:p>
            <w:pPr>
              <w:snapToGrid w:val="0"/>
              <w:spacing w:line="280" w:lineRule="exact"/>
              <w:ind w:left="52"/>
              <w:jc w:val="center"/>
              <w:rPr>
                <w:b/>
                <w:sz w:val="20"/>
              </w:rPr>
            </w:pPr>
            <w:r>
              <w:rPr>
                <w:rFonts w:hint="eastAsia"/>
                <w:b/>
                <w:sz w:val="20"/>
                <w:lang w:val="en-US" w:eastAsia="zh-CN"/>
              </w:rPr>
              <w:t>En:2.5</w:t>
            </w:r>
          </w:p>
        </w:tc>
        <w:tc>
          <w:tcPr>
            <w:tcW w:w="1627" w:type="dxa"/>
            <w:vAlign w:val="center"/>
          </w:tcPr>
          <w:p>
            <w:pPr>
              <w:snapToGrid w:val="0"/>
              <w:spacing w:line="280" w:lineRule="exact"/>
              <w:jc w:val="center"/>
              <w:rPr>
                <w:b/>
                <w:sz w:val="22"/>
                <w:szCs w:val="22"/>
              </w:rPr>
            </w:pPr>
            <w:r>
              <w:rPr>
                <w:rFonts w:hint="eastAsia"/>
                <w:b/>
                <w:sz w:val="22"/>
                <w:szCs w:val="22"/>
              </w:rPr>
              <w:t>培训地点</w:t>
            </w:r>
          </w:p>
        </w:tc>
        <w:tc>
          <w:tcPr>
            <w:tcW w:w="1472"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企业会议室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909" w:type="dxa"/>
            <w:vMerge w:val="restart"/>
            <w:tcBorders>
              <w:left w:val="single" w:color="auto" w:sz="4" w:space="0"/>
            </w:tcBorders>
            <w:vAlign w:val="center"/>
          </w:tcPr>
          <w:p>
            <w:pPr>
              <w:snapToGrid w:val="0"/>
              <w:spacing w:line="360" w:lineRule="exact"/>
              <w:jc w:val="center"/>
              <w:rPr>
                <w:b/>
                <w:sz w:val="20"/>
              </w:rPr>
            </w:pPr>
            <w:r>
              <w:rPr>
                <w:rFonts w:hint="eastAsia"/>
                <w:b/>
                <w:sz w:val="20"/>
              </w:rPr>
              <w:t>受培训人员</w:t>
            </w:r>
          </w:p>
        </w:tc>
        <w:tc>
          <w:tcPr>
            <w:tcW w:w="1340" w:type="dxa"/>
            <w:vAlign w:val="center"/>
          </w:tcPr>
          <w:p>
            <w:pPr>
              <w:snapToGrid w:val="0"/>
              <w:jc w:val="center"/>
              <w:rPr>
                <w:b/>
                <w:sz w:val="20"/>
              </w:rPr>
            </w:pPr>
            <w:r>
              <w:rPr>
                <w:rFonts w:hint="eastAsia"/>
                <w:b/>
                <w:sz w:val="20"/>
              </w:rPr>
              <w:t>姓名</w:t>
            </w:r>
          </w:p>
        </w:tc>
        <w:tc>
          <w:tcPr>
            <w:tcW w:w="2045" w:type="dxa"/>
            <w:vAlign w:val="center"/>
          </w:tcPr>
          <w:p>
            <w:pPr>
              <w:snapToGrid w:val="0"/>
              <w:spacing w:line="360" w:lineRule="exact"/>
              <w:jc w:val="center"/>
              <w:rPr>
                <w:rFonts w:hint="default" w:eastAsia="宋体"/>
                <w:b/>
                <w:sz w:val="20"/>
                <w:lang w:val="en-US" w:eastAsia="zh-CN"/>
              </w:rPr>
            </w:pPr>
            <w:r>
              <w:drawing>
                <wp:anchor distT="0" distB="0" distL="0" distR="0" simplePos="0" relativeHeight="251688960" behindDoc="0" locked="0" layoutInCell="1" allowOverlap="1">
                  <wp:simplePos x="0" y="0"/>
                  <wp:positionH relativeFrom="column">
                    <wp:posOffset>635</wp:posOffset>
                  </wp:positionH>
                  <wp:positionV relativeFrom="paragraph">
                    <wp:posOffset>17780</wp:posOffset>
                  </wp:positionV>
                  <wp:extent cx="695960" cy="194945"/>
                  <wp:effectExtent l="0" t="0" r="2540" b="8255"/>
                  <wp:wrapSquare wrapText="bothSides"/>
                  <wp:docPr id="4" name="图片 4" descr="D:\审核任务\电子签\李丽英电子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审核任务\电子签\李丽英电子签名.png"/>
                          <pic:cNvPicPr>
                            <a:picLocks noChangeAspect="1" noChangeArrowheads="1"/>
                          </pic:cNvPicPr>
                        </pic:nvPicPr>
                        <pic:blipFill>
                          <a:blip r:embed="rId5" cstate="print"/>
                          <a:srcRect/>
                          <a:stretch>
                            <a:fillRect/>
                          </a:stretch>
                        </pic:blipFill>
                        <pic:spPr>
                          <a:xfrm>
                            <a:off x="0" y="0"/>
                            <a:ext cx="695960" cy="194945"/>
                          </a:xfrm>
                          <a:prstGeom prst="rect">
                            <a:avLst/>
                          </a:prstGeom>
                          <a:noFill/>
                          <a:ln w="9525">
                            <a:noFill/>
                            <a:miter lim="800000"/>
                            <a:headEnd/>
                            <a:tailEnd/>
                          </a:ln>
                        </pic:spPr>
                      </pic:pic>
                    </a:graphicData>
                  </a:graphic>
                </wp:anchor>
              </w:drawing>
            </w:r>
          </w:p>
        </w:tc>
        <w:tc>
          <w:tcPr>
            <w:tcW w:w="1493" w:type="dxa"/>
            <w:vAlign w:val="center"/>
          </w:tcPr>
          <w:p>
            <w:pPr>
              <w:snapToGrid w:val="0"/>
              <w:spacing w:line="360" w:lineRule="exact"/>
              <w:jc w:val="center"/>
              <w:rPr>
                <w:b/>
                <w:sz w:val="20"/>
              </w:rPr>
            </w:pPr>
            <w:r>
              <w:rPr>
                <w:rFonts w:hint="default" w:eastAsiaTheme="minorEastAsia"/>
                <w:lang w:val="en-US" w:eastAsia="zh-CN"/>
              </w:rPr>
              <w:drawing>
                <wp:inline distT="0" distB="0" distL="114300" distR="114300">
                  <wp:extent cx="539115" cy="194945"/>
                  <wp:effectExtent l="0" t="0" r="6985" b="8255"/>
                  <wp:docPr id="5" name="图片 5" descr="9611b729e1be843596d3adf8c2569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9611b729e1be843596d3adf8c2569b2"/>
                          <pic:cNvPicPr>
                            <a:picLocks noChangeAspect="1"/>
                          </pic:cNvPicPr>
                        </pic:nvPicPr>
                        <pic:blipFill>
                          <a:blip r:embed="rId6"/>
                          <a:stretch>
                            <a:fillRect/>
                          </a:stretch>
                        </pic:blipFill>
                        <pic:spPr>
                          <a:xfrm>
                            <a:off x="0" y="0"/>
                            <a:ext cx="539115" cy="194945"/>
                          </a:xfrm>
                          <a:prstGeom prst="rect">
                            <a:avLst/>
                          </a:prstGeom>
                        </pic:spPr>
                      </pic:pic>
                    </a:graphicData>
                  </a:graphic>
                </wp:inline>
              </w:drawing>
            </w:r>
          </w:p>
        </w:tc>
        <w:tc>
          <w:tcPr>
            <w:tcW w:w="1787" w:type="dxa"/>
            <w:vAlign w:val="center"/>
          </w:tcPr>
          <w:p>
            <w:pPr>
              <w:snapToGrid w:val="0"/>
              <w:spacing w:line="360" w:lineRule="exact"/>
              <w:jc w:val="center"/>
              <w:rPr>
                <w:rFonts w:hint="default" w:eastAsia="宋体"/>
                <w:b/>
                <w:sz w:val="20"/>
                <w:lang w:val="en-US" w:eastAsia="zh-CN"/>
              </w:rPr>
            </w:pPr>
            <w:r>
              <w:rPr>
                <w:rFonts w:hint="eastAsia"/>
                <w:b/>
                <w:sz w:val="20"/>
                <w:lang w:val="en-US" w:eastAsia="zh-CN"/>
              </w:rPr>
              <w:t>任泽华</w:t>
            </w:r>
          </w:p>
        </w:tc>
        <w:tc>
          <w:tcPr>
            <w:tcW w:w="1627" w:type="dxa"/>
            <w:vAlign w:val="center"/>
          </w:tcPr>
          <w:p>
            <w:pPr>
              <w:snapToGrid w:val="0"/>
              <w:spacing w:line="360" w:lineRule="exact"/>
              <w:jc w:val="center"/>
              <w:rPr>
                <w:rFonts w:hint="eastAsia" w:eastAsia="宋体"/>
                <w:b/>
                <w:sz w:val="20"/>
                <w:lang w:val="en-US" w:eastAsia="zh-CN"/>
              </w:rPr>
            </w:pPr>
            <w:r>
              <w:rPr>
                <w:rFonts w:hint="eastAsia"/>
                <w:b/>
                <w:sz w:val="20"/>
                <w:lang w:val="en-US" w:eastAsia="zh-CN"/>
              </w:rPr>
              <w:t>石帆</w:t>
            </w:r>
          </w:p>
        </w:tc>
        <w:tc>
          <w:tcPr>
            <w:tcW w:w="1472"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09" w:type="dxa"/>
            <w:vMerge w:val="continue"/>
            <w:tcBorders>
              <w:left w:val="single" w:color="auto" w:sz="4" w:space="0"/>
            </w:tcBorders>
            <w:vAlign w:val="center"/>
          </w:tcPr>
          <w:p>
            <w:pPr>
              <w:snapToGrid w:val="0"/>
              <w:spacing w:line="360" w:lineRule="exact"/>
              <w:jc w:val="center"/>
              <w:rPr>
                <w:b/>
                <w:sz w:val="20"/>
              </w:rPr>
            </w:pPr>
          </w:p>
        </w:tc>
        <w:tc>
          <w:tcPr>
            <w:tcW w:w="1340" w:type="dxa"/>
            <w:vAlign w:val="center"/>
          </w:tcPr>
          <w:p>
            <w:pPr>
              <w:snapToGrid w:val="0"/>
              <w:spacing w:line="280" w:lineRule="exact"/>
              <w:jc w:val="center"/>
              <w:rPr>
                <w:b/>
                <w:sz w:val="20"/>
              </w:rPr>
            </w:pPr>
            <w:r>
              <w:rPr>
                <w:rFonts w:hint="eastAsia"/>
                <w:b/>
                <w:sz w:val="20"/>
              </w:rPr>
              <w:t>专业代码</w:t>
            </w:r>
          </w:p>
        </w:tc>
        <w:tc>
          <w:tcPr>
            <w:tcW w:w="2045" w:type="dxa"/>
            <w:vAlign w:val="center"/>
          </w:tcPr>
          <w:p>
            <w:pPr>
              <w:snapToGrid w:val="0"/>
              <w:spacing w:line="360" w:lineRule="exact"/>
              <w:jc w:val="center"/>
              <w:rPr>
                <w:rFonts w:hint="eastAsia"/>
                <w:b/>
                <w:sz w:val="20"/>
                <w:lang w:val="en-US" w:eastAsia="zh-CN"/>
              </w:rPr>
            </w:pPr>
            <w:r>
              <w:rPr>
                <w:rFonts w:hint="eastAsia"/>
                <w:b/>
                <w:sz w:val="20"/>
                <w:lang w:val="en-US" w:eastAsia="zh-CN"/>
              </w:rPr>
              <w:t>QES:04</w:t>
            </w:r>
            <w:r>
              <w:rPr>
                <w:b/>
                <w:sz w:val="20"/>
              </w:rPr>
              <w:t>.</w:t>
            </w:r>
            <w:r>
              <w:rPr>
                <w:rFonts w:hint="eastAsia"/>
                <w:b/>
                <w:sz w:val="20"/>
                <w:lang w:val="en-US" w:eastAsia="zh-CN"/>
              </w:rPr>
              <w:t>02</w:t>
            </w:r>
            <w:r>
              <w:rPr>
                <w:b/>
                <w:sz w:val="20"/>
              </w:rPr>
              <w:t>.0</w:t>
            </w:r>
            <w:r>
              <w:rPr>
                <w:rFonts w:hint="eastAsia"/>
                <w:b/>
                <w:sz w:val="20"/>
                <w:lang w:val="en-US" w:eastAsia="zh-CN"/>
              </w:rPr>
              <w:t>0</w:t>
            </w:r>
          </w:p>
          <w:p>
            <w:pPr>
              <w:snapToGrid w:val="0"/>
              <w:spacing w:line="360" w:lineRule="exact"/>
              <w:jc w:val="center"/>
              <w:rPr>
                <w:b/>
                <w:sz w:val="20"/>
              </w:rPr>
            </w:pPr>
            <w:r>
              <w:rPr>
                <w:rFonts w:hint="eastAsia"/>
                <w:b/>
                <w:sz w:val="20"/>
                <w:lang w:val="en-US" w:eastAsia="zh-CN"/>
              </w:rPr>
              <w:t>En:2.5</w:t>
            </w:r>
          </w:p>
        </w:tc>
        <w:tc>
          <w:tcPr>
            <w:tcW w:w="1493" w:type="dxa"/>
            <w:vAlign w:val="center"/>
          </w:tcPr>
          <w:p>
            <w:pPr>
              <w:snapToGrid w:val="0"/>
              <w:spacing w:line="360" w:lineRule="exact"/>
              <w:jc w:val="center"/>
              <w:rPr>
                <w:rFonts w:hint="eastAsia"/>
                <w:b/>
                <w:sz w:val="20"/>
                <w:lang w:val="en-US" w:eastAsia="zh-CN"/>
              </w:rPr>
            </w:pPr>
            <w:r>
              <w:rPr>
                <w:rFonts w:hint="eastAsia"/>
                <w:b/>
                <w:sz w:val="20"/>
                <w:lang w:val="en-US" w:eastAsia="zh-CN"/>
              </w:rPr>
              <w:t>QES:04</w:t>
            </w:r>
            <w:r>
              <w:rPr>
                <w:b/>
                <w:sz w:val="20"/>
              </w:rPr>
              <w:t>.</w:t>
            </w:r>
            <w:r>
              <w:rPr>
                <w:rFonts w:hint="eastAsia"/>
                <w:b/>
                <w:sz w:val="20"/>
                <w:lang w:val="en-US" w:eastAsia="zh-CN"/>
              </w:rPr>
              <w:t>02</w:t>
            </w:r>
            <w:r>
              <w:rPr>
                <w:b/>
                <w:sz w:val="20"/>
              </w:rPr>
              <w:t>.0</w:t>
            </w:r>
            <w:r>
              <w:rPr>
                <w:rFonts w:hint="eastAsia"/>
                <w:b/>
                <w:sz w:val="20"/>
                <w:lang w:val="en-US" w:eastAsia="zh-CN"/>
              </w:rPr>
              <w:t>0</w:t>
            </w:r>
          </w:p>
          <w:p>
            <w:pPr>
              <w:snapToGrid w:val="0"/>
              <w:spacing w:line="360" w:lineRule="exact"/>
              <w:jc w:val="center"/>
              <w:rPr>
                <w:rFonts w:hint="default"/>
                <w:b/>
                <w:sz w:val="20"/>
                <w:lang w:val="en-US"/>
              </w:rPr>
            </w:pPr>
            <w:r>
              <w:rPr>
                <w:rFonts w:hint="eastAsia"/>
                <w:b/>
                <w:sz w:val="20"/>
                <w:lang w:val="en-US" w:eastAsia="zh-CN"/>
              </w:rPr>
              <w:t>En:2.5</w:t>
            </w:r>
          </w:p>
        </w:tc>
        <w:tc>
          <w:tcPr>
            <w:tcW w:w="1787" w:type="dxa"/>
            <w:vAlign w:val="center"/>
          </w:tcPr>
          <w:p>
            <w:pPr>
              <w:snapToGrid w:val="0"/>
              <w:spacing w:line="280" w:lineRule="exact"/>
              <w:ind w:left="52"/>
              <w:jc w:val="center"/>
              <w:rPr>
                <w:b/>
                <w:sz w:val="20"/>
              </w:rPr>
            </w:pPr>
            <w:r>
              <w:rPr>
                <w:rFonts w:hint="eastAsia"/>
                <w:b/>
                <w:sz w:val="20"/>
                <w:lang w:val="en-US" w:eastAsia="zh-CN"/>
              </w:rPr>
              <w:t>QE:04</w:t>
            </w:r>
            <w:r>
              <w:rPr>
                <w:b/>
                <w:sz w:val="20"/>
              </w:rPr>
              <w:t>.</w:t>
            </w:r>
            <w:r>
              <w:rPr>
                <w:rFonts w:hint="eastAsia"/>
                <w:b/>
                <w:sz w:val="20"/>
                <w:lang w:val="en-US" w:eastAsia="zh-CN"/>
              </w:rPr>
              <w:t>02</w:t>
            </w:r>
            <w:r>
              <w:rPr>
                <w:b/>
                <w:sz w:val="20"/>
              </w:rPr>
              <w:t>.0</w:t>
            </w:r>
            <w:r>
              <w:rPr>
                <w:rFonts w:hint="eastAsia"/>
                <w:b/>
                <w:sz w:val="20"/>
                <w:lang w:val="en-US" w:eastAsia="zh-CN"/>
              </w:rPr>
              <w:t>0</w:t>
            </w:r>
            <w:r>
              <w:rPr>
                <w:b/>
                <w:sz w:val="20"/>
              </w:rPr>
              <w:t>;</w:t>
            </w:r>
          </w:p>
        </w:tc>
        <w:tc>
          <w:tcPr>
            <w:tcW w:w="1627" w:type="dxa"/>
            <w:vAlign w:val="center"/>
          </w:tcPr>
          <w:p>
            <w:pPr>
              <w:snapToGrid w:val="0"/>
              <w:spacing w:line="360" w:lineRule="exact"/>
              <w:jc w:val="center"/>
              <w:rPr>
                <w:b/>
                <w:sz w:val="20"/>
              </w:rPr>
            </w:pPr>
            <w:r>
              <w:rPr>
                <w:rFonts w:hint="eastAsia"/>
                <w:b/>
                <w:sz w:val="20"/>
                <w:lang w:val="en-US" w:eastAsia="zh-CN"/>
              </w:rPr>
              <w:t>Q:04</w:t>
            </w:r>
            <w:r>
              <w:rPr>
                <w:b/>
                <w:sz w:val="20"/>
              </w:rPr>
              <w:t>.</w:t>
            </w:r>
            <w:r>
              <w:rPr>
                <w:rFonts w:hint="eastAsia"/>
                <w:b/>
                <w:sz w:val="20"/>
                <w:lang w:val="en-US" w:eastAsia="zh-CN"/>
              </w:rPr>
              <w:t>02</w:t>
            </w:r>
            <w:r>
              <w:rPr>
                <w:b/>
                <w:sz w:val="20"/>
              </w:rPr>
              <w:t>.0</w:t>
            </w:r>
            <w:r>
              <w:rPr>
                <w:rFonts w:hint="eastAsia"/>
                <w:b/>
                <w:sz w:val="20"/>
                <w:lang w:val="en-US" w:eastAsia="zh-CN"/>
              </w:rPr>
              <w:t>0</w:t>
            </w:r>
            <w:r>
              <w:rPr>
                <w:b/>
                <w:sz w:val="20"/>
              </w:rPr>
              <w:t>;</w:t>
            </w:r>
          </w:p>
        </w:tc>
        <w:tc>
          <w:tcPr>
            <w:tcW w:w="1472"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39" w:hRule="atLeast"/>
          <w:jc w:val="center"/>
        </w:trPr>
        <w:tc>
          <w:tcPr>
            <w:tcW w:w="2249" w:type="dxa"/>
            <w:gridSpan w:val="2"/>
            <w:tcBorders>
              <w:left w:val="single" w:color="auto" w:sz="4" w:space="0"/>
            </w:tcBorders>
            <w:vAlign w:val="center"/>
          </w:tcPr>
          <w:p>
            <w:pPr>
              <w:snapToGrid w:val="0"/>
              <w:spacing w:line="280" w:lineRule="exact"/>
              <w:jc w:val="center"/>
              <w:rPr>
                <w:b/>
                <w:sz w:val="20"/>
              </w:rPr>
            </w:pPr>
            <w:r>
              <w:rPr>
                <w:rFonts w:hint="eastAsia"/>
                <w:b/>
                <w:sz w:val="20"/>
              </w:rPr>
              <w:t>生产工艺</w:t>
            </w:r>
            <w:r>
              <w:rPr>
                <w:b/>
                <w:sz w:val="20"/>
              </w:rPr>
              <w:t>/</w:t>
            </w:r>
          </w:p>
          <w:p>
            <w:pPr>
              <w:snapToGrid w:val="0"/>
              <w:spacing w:line="280" w:lineRule="exact"/>
              <w:jc w:val="center"/>
              <w:rPr>
                <w:b/>
                <w:sz w:val="20"/>
              </w:rPr>
            </w:pPr>
            <w:r>
              <w:rPr>
                <w:rFonts w:hint="eastAsia"/>
                <w:b/>
                <w:sz w:val="20"/>
              </w:rPr>
              <w:t>服务过程</w:t>
            </w:r>
          </w:p>
        </w:tc>
        <w:tc>
          <w:tcPr>
            <w:tcW w:w="8424" w:type="dxa"/>
            <w:gridSpan w:val="5"/>
            <w:vAlign w:val="center"/>
          </w:tcPr>
          <w:p>
            <w:pPr>
              <w:snapToGrid w:val="0"/>
              <w:spacing w:line="280" w:lineRule="exact"/>
              <w:jc w:val="both"/>
              <w:rPr>
                <w:rFonts w:hint="eastAsia" w:ascii="宋体" w:hAnsi="Times New Roman" w:cs="Times New Roman"/>
                <w:color w:val="000000"/>
                <w:sz w:val="20"/>
                <w:szCs w:val="20"/>
                <w:lang w:val="en-US" w:eastAsia="zh-CN"/>
              </w:rPr>
            </w:pPr>
            <w:r>
              <w:rPr>
                <w:rFonts w:hint="eastAsia" w:ascii="宋体" w:cs="Times New Roman"/>
                <w:color w:val="000000"/>
                <w:sz w:val="20"/>
                <w:szCs w:val="20"/>
                <w:lang w:val="en-US" w:eastAsia="zh-CN"/>
              </w:rPr>
              <w:t>1.</w:t>
            </w:r>
            <w:r>
              <w:rPr>
                <w:rFonts w:hint="eastAsia" w:ascii="宋体" w:hAnsi="Times New Roman" w:cs="Times New Roman"/>
                <w:color w:val="000000"/>
                <w:sz w:val="20"/>
                <w:szCs w:val="20"/>
                <w:lang w:val="en-US" w:eastAsia="zh-CN"/>
              </w:rPr>
              <w:t>胚布生产工艺流程图</w:t>
            </w:r>
          </w:p>
          <w:p>
            <w:pPr>
              <w:snapToGrid w:val="0"/>
              <w:spacing w:line="280" w:lineRule="exact"/>
              <w:jc w:val="both"/>
              <w:rPr>
                <w:rFonts w:hint="eastAsia" w:ascii="宋体" w:hAnsi="Times New Roman" w:cs="Times New Roman"/>
                <w:color w:val="000000"/>
                <w:sz w:val="20"/>
                <w:szCs w:val="20"/>
                <w:lang w:val="en-US" w:eastAsia="zh-CN"/>
              </w:rPr>
            </w:pPr>
            <w:r>
              <w:rPr>
                <w:rFonts w:hint="eastAsia" w:ascii="宋体" w:hAnsi="Times New Roman" w:cs="Times New Roman"/>
                <w:color w:val="000000"/>
                <w:sz w:val="20"/>
                <w:szCs w:val="20"/>
                <w:lang w:val="en-US" w:eastAsia="zh-CN"/>
              </w:rPr>
              <w:t>纱→浆纱→整经→织造→胚布</w:t>
            </w:r>
          </w:p>
          <w:p>
            <w:pPr>
              <w:snapToGrid w:val="0"/>
              <w:spacing w:line="280" w:lineRule="exact"/>
              <w:jc w:val="both"/>
              <w:rPr>
                <w:rFonts w:hint="eastAsia" w:ascii="宋体" w:hAnsi="Times New Roman" w:cs="Times New Roman"/>
                <w:color w:val="000000"/>
                <w:sz w:val="20"/>
                <w:szCs w:val="20"/>
                <w:lang w:val="en-US" w:eastAsia="zh-CN"/>
              </w:rPr>
            </w:pPr>
            <w:r>
              <w:rPr>
                <w:rFonts w:hint="eastAsia" w:ascii="宋体" w:cs="Times New Roman"/>
                <w:color w:val="000000"/>
                <w:sz w:val="20"/>
                <w:szCs w:val="20"/>
                <w:lang w:val="en-US" w:eastAsia="zh-CN"/>
              </w:rPr>
              <w:t>2.</w:t>
            </w:r>
            <w:r>
              <w:rPr>
                <w:rFonts w:hint="eastAsia" w:ascii="宋体" w:hAnsi="Times New Roman" w:cs="Times New Roman"/>
                <w:color w:val="000000"/>
                <w:sz w:val="20"/>
                <w:szCs w:val="20"/>
                <w:lang w:val="en-US" w:eastAsia="zh-CN"/>
              </w:rPr>
              <w:t>围巾、丝巾生产工艺流程图</w:t>
            </w:r>
          </w:p>
          <w:p>
            <w:pPr>
              <w:snapToGrid w:val="0"/>
              <w:spacing w:line="280" w:lineRule="exact"/>
              <w:jc w:val="both"/>
              <w:rPr>
                <w:rFonts w:hint="default"/>
                <w:b/>
                <w:sz w:val="20"/>
                <w:lang w:val="en-US"/>
              </w:rPr>
            </w:pPr>
            <w:r>
              <w:rPr>
                <w:rFonts w:hint="eastAsia" w:ascii="宋体" w:hAnsi="Times New Roman" w:cs="Times New Roman"/>
                <w:color w:val="000000"/>
                <w:sz w:val="20"/>
                <w:szCs w:val="20"/>
                <w:lang w:val="en-US" w:eastAsia="zh-CN"/>
              </w:rPr>
              <w:t>胚布→印染→面料→开剪→缝边→检验→成品→包装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48"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生产过程</w:t>
            </w:r>
            <w:r>
              <w:rPr>
                <w:b/>
                <w:sz w:val="20"/>
              </w:rPr>
              <w:t>/</w:t>
            </w:r>
            <w:r>
              <w:rPr>
                <w:rFonts w:hint="eastAsia"/>
                <w:b/>
                <w:sz w:val="20"/>
              </w:rPr>
              <w:t>服务过程</w:t>
            </w:r>
          </w:p>
          <w:p>
            <w:pPr>
              <w:snapToGrid w:val="0"/>
              <w:spacing w:line="280" w:lineRule="exact"/>
              <w:jc w:val="left"/>
              <w:rPr>
                <w:b/>
                <w:sz w:val="20"/>
              </w:rPr>
            </w:pPr>
            <w:r>
              <w:rPr>
                <w:rFonts w:hint="eastAsia"/>
                <w:b/>
                <w:sz w:val="20"/>
              </w:rPr>
              <w:t>的风险及控制措施</w:t>
            </w:r>
          </w:p>
          <w:p>
            <w:pPr>
              <w:snapToGrid w:val="0"/>
              <w:spacing w:line="280" w:lineRule="exact"/>
              <w:jc w:val="left"/>
              <w:rPr>
                <w:b/>
                <w:sz w:val="20"/>
              </w:rPr>
            </w:pPr>
            <w:r>
              <w:rPr>
                <w:rFonts w:hint="eastAsia"/>
                <w:b/>
                <w:sz w:val="20"/>
              </w:rPr>
              <w:t>特殊过程的控制</w:t>
            </w:r>
            <w:r>
              <w:rPr>
                <w:b/>
                <w:sz w:val="20"/>
              </w:rPr>
              <w:t>/</w:t>
            </w:r>
          </w:p>
          <w:p>
            <w:pPr>
              <w:snapToGrid w:val="0"/>
              <w:spacing w:line="280" w:lineRule="exact"/>
              <w:jc w:val="left"/>
              <w:rPr>
                <w:b/>
              </w:rPr>
            </w:pPr>
          </w:p>
        </w:tc>
        <w:tc>
          <w:tcPr>
            <w:tcW w:w="8424" w:type="dxa"/>
            <w:gridSpan w:val="5"/>
            <w:vAlign w:val="center"/>
          </w:tcPr>
          <w:p>
            <w:pPr>
              <w:snapToGrid w:val="0"/>
              <w:spacing w:line="280" w:lineRule="exact"/>
              <w:jc w:val="both"/>
              <w:rPr>
                <w:rFonts w:hint="eastAsia" w:ascii="宋体" w:hAnsi="Times New Roman" w:cs="Times New Roman"/>
                <w:color w:val="000000"/>
                <w:sz w:val="20"/>
                <w:szCs w:val="20"/>
                <w:lang w:val="en-US" w:eastAsia="zh-CN"/>
              </w:rPr>
            </w:pPr>
            <w:r>
              <w:rPr>
                <w:rFonts w:hint="eastAsia" w:ascii="宋体" w:hAnsi="Times New Roman" w:cs="Times New Roman"/>
                <w:color w:val="000000"/>
                <w:sz w:val="20"/>
                <w:szCs w:val="20"/>
                <w:lang w:val="en-US" w:eastAsia="zh-CN"/>
              </w:rPr>
              <w:t>生产过程风险：过程控制偏离、数据记录失真、人员操作能力不足、监视测量等</w:t>
            </w:r>
          </w:p>
          <w:p>
            <w:pPr>
              <w:snapToGrid w:val="0"/>
              <w:spacing w:line="280" w:lineRule="exact"/>
              <w:jc w:val="both"/>
              <w:rPr>
                <w:rFonts w:hint="default" w:ascii="宋体" w:hAnsi="Times New Roman" w:cs="Times New Roman"/>
                <w:color w:val="000000"/>
                <w:sz w:val="20"/>
                <w:szCs w:val="20"/>
                <w:lang w:val="en-US" w:eastAsia="zh-CN"/>
              </w:rPr>
            </w:pPr>
            <w:r>
              <w:rPr>
                <w:rFonts w:hint="eastAsia" w:ascii="宋体" w:hAnsi="Times New Roman" w:cs="Times New Roman"/>
                <w:color w:val="000000"/>
                <w:sz w:val="20"/>
                <w:szCs w:val="20"/>
                <w:lang w:val="en-US" w:eastAsia="zh-CN"/>
              </w:rPr>
              <w:t>控制措施：加强人员培训，提高能力，加强对基础设施的检查维护保养，必要时更新等</w:t>
            </w:r>
          </w:p>
          <w:p>
            <w:pPr>
              <w:snapToGrid w:val="0"/>
              <w:spacing w:line="280" w:lineRule="exact"/>
              <w:jc w:val="both"/>
              <w:rPr>
                <w:rFonts w:hint="eastAsia" w:ascii="宋体" w:hAnsi="Times New Roman" w:cs="Times New Roman"/>
                <w:color w:val="000000"/>
                <w:sz w:val="20"/>
                <w:szCs w:val="20"/>
                <w:lang w:val="en-US" w:eastAsia="zh-CN"/>
              </w:rPr>
            </w:pPr>
            <w:r>
              <w:rPr>
                <w:rFonts w:hint="eastAsia" w:ascii="宋体" w:hAnsi="Times New Roman" w:cs="Times New Roman"/>
                <w:color w:val="000000"/>
                <w:sz w:val="20"/>
                <w:szCs w:val="20"/>
                <w:lang w:val="en-US" w:eastAsia="zh-CN"/>
              </w:rPr>
              <w:t xml:space="preserve">前处理、定型、检验为关键过程。 </w:t>
            </w:r>
          </w:p>
          <w:p>
            <w:pPr>
              <w:snapToGrid w:val="0"/>
              <w:spacing w:line="280" w:lineRule="exact"/>
              <w:jc w:val="both"/>
              <w:rPr>
                <w:rFonts w:hint="eastAsia" w:ascii="宋体" w:cs="Times New Roman"/>
                <w:color w:val="000000"/>
                <w:sz w:val="20"/>
                <w:szCs w:val="20"/>
                <w:lang w:val="en-US" w:eastAsia="zh-CN"/>
              </w:rPr>
            </w:pPr>
            <w:r>
              <w:rPr>
                <w:rFonts w:hint="eastAsia" w:ascii="宋体" w:hAnsi="Times New Roman" w:cs="Times New Roman"/>
                <w:color w:val="000000"/>
                <w:sz w:val="20"/>
                <w:szCs w:val="20"/>
                <w:lang w:val="en-US" w:eastAsia="zh-CN"/>
              </w:rPr>
              <w:t>过程风险通过质量管理体系的风险识别及生产过程的工艺控制措施实施控制</w:t>
            </w:r>
            <w:r>
              <w:rPr>
                <w:rFonts w:hint="eastAsia" w:ascii="宋体" w:cs="Times New Roman"/>
                <w:color w:val="000000"/>
                <w:sz w:val="20"/>
                <w:szCs w:val="20"/>
                <w:lang w:val="en-US" w:eastAsia="zh-CN"/>
              </w:rPr>
              <w:t>。</w:t>
            </w:r>
          </w:p>
          <w:p>
            <w:pPr>
              <w:pStyle w:val="2"/>
              <w:rPr>
                <w:rFonts w:hint="eastAsia"/>
                <w:lang w:val="en-US" w:eastAsia="zh-CN"/>
              </w:rPr>
            </w:pPr>
          </w:p>
          <w:p>
            <w:pPr>
              <w:snapToGrid w:val="0"/>
              <w:spacing w:line="280" w:lineRule="exact"/>
              <w:jc w:val="both"/>
              <w:rPr>
                <w:rFonts w:hint="default"/>
                <w:lang w:val="en-US"/>
              </w:rPr>
            </w:pPr>
            <w:r>
              <w:rPr>
                <w:rFonts w:hint="eastAsia" w:ascii="宋体" w:hAnsi="Times New Roman" w:cs="Times New Roman"/>
                <w:color w:val="000000"/>
                <w:sz w:val="20"/>
                <w:szCs w:val="20"/>
                <w:lang w:val="en-US" w:eastAsia="zh-CN"/>
              </w:rPr>
              <w:t>无特殊过程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53"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重要环境及控制措施</w:t>
            </w:r>
          </w:p>
        </w:tc>
        <w:tc>
          <w:tcPr>
            <w:tcW w:w="8424" w:type="dxa"/>
            <w:gridSpan w:val="5"/>
            <w:vAlign w:val="center"/>
          </w:tcPr>
          <w:p>
            <w:pPr>
              <w:snapToGrid w:val="0"/>
              <w:spacing w:line="280" w:lineRule="exact"/>
              <w:jc w:val="both"/>
              <w:rPr>
                <w:rFonts w:hint="eastAsia" w:ascii="宋体" w:hAnsi="Times New Roman" w:cs="Times New Roman"/>
                <w:color w:val="000000"/>
                <w:sz w:val="20"/>
                <w:szCs w:val="20"/>
                <w:lang w:val="en-US" w:eastAsia="zh-CN"/>
              </w:rPr>
            </w:pPr>
            <w:r>
              <w:rPr>
                <w:rFonts w:hint="eastAsia"/>
                <w:b/>
                <w:sz w:val="20"/>
                <w:lang w:val="en-US" w:eastAsia="zh-CN"/>
              </w:rPr>
              <w:t>重要环境因素：</w:t>
            </w:r>
            <w:r>
              <w:rPr>
                <w:rFonts w:hint="eastAsia" w:ascii="宋体" w:hAnsi="Times New Roman" w:cs="Times New Roman"/>
                <w:color w:val="000000"/>
                <w:sz w:val="20"/>
                <w:szCs w:val="20"/>
                <w:lang w:val="en-US" w:eastAsia="zh-CN"/>
              </w:rPr>
              <w:t>废水排放、废气排放、危险废物处置</w:t>
            </w:r>
            <w:r>
              <w:rPr>
                <w:rFonts w:hint="eastAsia" w:ascii="宋体" w:cs="Times New Roman"/>
                <w:color w:val="000000"/>
                <w:sz w:val="20"/>
                <w:szCs w:val="20"/>
                <w:lang w:val="en-US" w:eastAsia="zh-CN"/>
              </w:rPr>
              <w:t>、能源消耗</w:t>
            </w:r>
            <w:r>
              <w:rPr>
                <w:rFonts w:hint="eastAsia" w:ascii="宋体" w:hAnsi="Times New Roman" w:cs="Times New Roman"/>
                <w:color w:val="000000"/>
                <w:sz w:val="20"/>
                <w:szCs w:val="20"/>
                <w:lang w:val="en-US" w:eastAsia="zh-CN"/>
              </w:rPr>
              <w:t>等</w:t>
            </w:r>
          </w:p>
          <w:p>
            <w:pPr>
              <w:snapToGrid w:val="0"/>
              <w:spacing w:line="280" w:lineRule="exact"/>
              <w:jc w:val="both"/>
              <w:rPr>
                <w:rFonts w:hint="default" w:ascii="宋体" w:hAnsi="Times New Roman" w:cs="Times New Roman"/>
                <w:sz w:val="20"/>
                <w:szCs w:val="20"/>
                <w:lang w:val="en-US" w:eastAsia="zh-CN"/>
              </w:rPr>
            </w:pPr>
            <w:r>
              <w:rPr>
                <w:rFonts w:hint="eastAsia"/>
                <w:b/>
                <w:sz w:val="20"/>
                <w:lang w:val="en-US" w:eastAsia="zh-CN"/>
              </w:rPr>
              <w:t>控制措施：</w:t>
            </w:r>
            <w:r>
              <w:rPr>
                <w:rFonts w:hint="eastAsia" w:ascii="宋体" w:hAnsi="Times New Roman" w:cs="Times New Roman"/>
                <w:color w:val="000000"/>
                <w:sz w:val="20"/>
                <w:szCs w:val="20"/>
                <w:lang w:val="en-US" w:eastAsia="zh-CN"/>
              </w:rPr>
              <w:t>通过《环境因素识别与评价管理程序》;《运行控制管理程序》</w:t>
            </w:r>
            <w:r>
              <w:rPr>
                <w:rFonts w:hint="eastAsia" w:ascii="宋体" w:hAnsi="Times New Roman" w:cs="Times New Roman"/>
                <w:sz w:val="20"/>
                <w:szCs w:val="20"/>
                <w:lang w:val="en-US" w:eastAsia="zh-CN"/>
              </w:rPr>
              <w:t>及相关的环境管理制度进行控制</w:t>
            </w:r>
            <w:r>
              <w:rPr>
                <w:rFonts w:hint="eastAsia" w:ascii="宋体" w:cs="Times New Roman"/>
                <w:sz w:val="20"/>
                <w:szCs w:val="20"/>
                <w:lang w:val="en-US" w:eastAsia="zh-CN"/>
              </w:rPr>
              <w:t>。</w:t>
            </w:r>
          </w:p>
          <w:p>
            <w:pPr>
              <w:snapToGrid w:val="0"/>
              <w:spacing w:line="280" w:lineRule="exact"/>
              <w:jc w:val="both"/>
              <w:rPr>
                <w:rFonts w:hint="default" w:ascii="宋体" w:hAnsi="Times New Roman" w:cs="Times New Roman"/>
                <w:sz w:val="20"/>
                <w:szCs w:val="20"/>
                <w:lang w:val="en-US" w:eastAsia="zh-CN"/>
              </w:rPr>
            </w:pPr>
          </w:p>
          <w:p>
            <w:pPr>
              <w:snapToGrid w:val="0"/>
              <w:spacing w:line="280" w:lineRule="exact"/>
              <w:jc w:val="both"/>
              <w:rPr>
                <w:rFonts w:hint="default"/>
                <w:b/>
                <w:sz w:val="20"/>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83"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不可接受风险的危险源及控制措施</w:t>
            </w:r>
          </w:p>
        </w:tc>
        <w:tc>
          <w:tcPr>
            <w:tcW w:w="8424" w:type="dxa"/>
            <w:gridSpan w:val="5"/>
            <w:vAlign w:val="center"/>
          </w:tcPr>
          <w:p>
            <w:pPr>
              <w:snapToGrid w:val="0"/>
              <w:spacing w:line="280" w:lineRule="exact"/>
              <w:jc w:val="both"/>
              <w:rPr>
                <w:rFonts w:hint="eastAsia" w:ascii="宋体"/>
                <w:sz w:val="20"/>
                <w:szCs w:val="20"/>
                <w:lang w:val="en-US" w:eastAsia="zh-CN"/>
              </w:rPr>
            </w:pPr>
            <w:r>
              <w:rPr>
                <w:rFonts w:hint="eastAsia" w:ascii="宋体"/>
                <w:b/>
                <w:bCs/>
                <w:sz w:val="20"/>
                <w:szCs w:val="20"/>
                <w:lang w:val="en-US" w:eastAsia="zh-CN"/>
              </w:rPr>
              <w:t>不可接受的风险包括</w:t>
            </w:r>
            <w:r>
              <w:rPr>
                <w:rFonts w:hint="eastAsia" w:ascii="宋体"/>
                <w:sz w:val="20"/>
                <w:szCs w:val="20"/>
                <w:lang w:val="en-US" w:eastAsia="zh-CN"/>
              </w:rPr>
              <w:t>：直接作业风险；危险化学品贮存、泄漏风险、重大隐患等</w:t>
            </w:r>
          </w:p>
          <w:p>
            <w:pPr>
              <w:snapToGrid w:val="0"/>
              <w:spacing w:line="280" w:lineRule="exact"/>
              <w:jc w:val="both"/>
              <w:rPr>
                <w:rFonts w:hint="default"/>
                <w:b/>
                <w:sz w:val="20"/>
                <w:lang w:val="en-US" w:eastAsia="zh-CN"/>
              </w:rPr>
            </w:pPr>
            <w:r>
              <w:rPr>
                <w:rFonts w:hint="eastAsia"/>
                <w:b/>
                <w:sz w:val="20"/>
                <w:lang w:val="en-US" w:eastAsia="zh-CN"/>
              </w:rPr>
              <w:t>控制措施：</w:t>
            </w:r>
            <w:r>
              <w:rPr>
                <w:rFonts w:hint="eastAsia"/>
                <w:b w:val="0"/>
                <w:bCs/>
                <w:sz w:val="20"/>
                <w:lang w:val="en-US" w:eastAsia="zh-CN"/>
              </w:rPr>
              <w:t>通过</w:t>
            </w:r>
            <w:r>
              <w:rPr>
                <w:rFonts w:hint="eastAsia" w:ascii="宋体" w:hAnsi="Times New Roman" w:cs="Times New Roman"/>
                <w:color w:val="000000"/>
                <w:sz w:val="20"/>
                <w:szCs w:val="20"/>
                <w:lang w:val="en-US" w:eastAsia="zh-CN"/>
              </w:rPr>
              <w:t>《危险源辨识与风险评价控制措施管理程序》</w:t>
            </w:r>
            <w:r>
              <w:rPr>
                <w:rFonts w:hint="eastAsia" w:ascii="宋体" w:hAnsi="Times New Roman" w:cs="Times New Roman"/>
                <w:sz w:val="20"/>
                <w:szCs w:val="20"/>
                <w:lang w:val="en-US" w:eastAsia="zh-CN"/>
              </w:rPr>
              <w:t>；</w:t>
            </w:r>
            <w:r>
              <w:rPr>
                <w:rFonts w:hint="eastAsia" w:ascii="宋体" w:hAnsi="Times New Roman" w:cs="Times New Roman"/>
                <w:color w:val="000000"/>
                <w:sz w:val="20"/>
                <w:szCs w:val="20"/>
                <w:lang w:val="en-US" w:eastAsia="zh-CN"/>
              </w:rPr>
              <w:t>《运行控制管理程序》</w:t>
            </w:r>
            <w:r>
              <w:rPr>
                <w:rFonts w:hint="eastAsia" w:ascii="宋体" w:hAnsi="Times New Roman" w:cs="Times New Roman"/>
                <w:sz w:val="20"/>
                <w:szCs w:val="20"/>
                <w:lang w:val="en-US" w:eastAsia="zh-CN"/>
              </w:rPr>
              <w:t>及相关的安全管理制度等进行控制</w:t>
            </w:r>
            <w:r>
              <w:rPr>
                <w:rFonts w:hint="eastAsia" w:ascii="宋体" w:cs="Times New Roman"/>
                <w:sz w:val="20"/>
                <w:szCs w:val="20"/>
                <w:lang w:val="en-US" w:eastAsia="zh-CN"/>
              </w:rPr>
              <w:t>。</w:t>
            </w:r>
          </w:p>
          <w:p>
            <w:pPr>
              <w:snapToGrid w:val="0"/>
              <w:spacing w:line="280" w:lineRule="exact"/>
              <w:jc w:val="both"/>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2249" w:type="dxa"/>
            <w:gridSpan w:val="2"/>
            <w:tcBorders>
              <w:left w:val="single" w:color="auto" w:sz="4" w:space="0"/>
            </w:tcBorders>
            <w:vAlign w:val="center"/>
          </w:tcPr>
          <w:p>
            <w:pPr>
              <w:snapToGrid w:val="0"/>
              <w:spacing w:line="280" w:lineRule="exact"/>
              <w:jc w:val="left"/>
              <w:rPr>
                <w:rFonts w:hint="eastAsia" w:eastAsia="宋体"/>
                <w:b/>
                <w:sz w:val="20"/>
                <w:lang w:val="en-US" w:eastAsia="zh-CN"/>
              </w:rPr>
            </w:pPr>
            <w:r>
              <w:rPr>
                <w:rFonts w:hint="eastAsia"/>
                <w:b/>
                <w:sz w:val="20"/>
                <w:lang w:val="en-US" w:eastAsia="zh-CN"/>
              </w:rPr>
              <w:t>主要能源使用</w:t>
            </w:r>
          </w:p>
        </w:tc>
        <w:tc>
          <w:tcPr>
            <w:tcW w:w="8424" w:type="dxa"/>
            <w:gridSpan w:val="5"/>
            <w:vAlign w:val="center"/>
          </w:tcPr>
          <w:p>
            <w:pPr>
              <w:snapToGrid w:val="0"/>
              <w:spacing w:line="280" w:lineRule="exact"/>
              <w:jc w:val="both"/>
              <w:rPr>
                <w:rFonts w:hint="default" w:eastAsia="宋体"/>
                <w:b/>
                <w:sz w:val="20"/>
                <w:lang w:val="en-US" w:eastAsia="zh-CN"/>
              </w:rPr>
            </w:pPr>
            <w:r>
              <w:rPr>
                <w:rFonts w:hint="eastAsia"/>
                <w:b/>
                <w:sz w:val="20"/>
                <w:lang w:val="en-US" w:eastAsia="zh-CN"/>
              </w:rPr>
              <w:t>蒸汽、天然气、电力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2249" w:type="dxa"/>
            <w:gridSpan w:val="2"/>
            <w:tcBorders>
              <w:left w:val="single" w:color="auto" w:sz="4" w:space="0"/>
            </w:tcBorders>
            <w:vAlign w:val="center"/>
          </w:tcPr>
          <w:p>
            <w:pPr>
              <w:snapToGrid w:val="0"/>
              <w:spacing w:line="280" w:lineRule="exact"/>
              <w:jc w:val="left"/>
              <w:rPr>
                <w:b/>
              </w:rPr>
            </w:pPr>
            <w:r>
              <w:rPr>
                <w:rFonts w:hint="eastAsia"/>
                <w:b/>
                <w:sz w:val="20"/>
              </w:rPr>
              <w:t>相关法律法规的要求及产品标准</w:t>
            </w:r>
          </w:p>
        </w:tc>
        <w:tc>
          <w:tcPr>
            <w:tcW w:w="8424" w:type="dxa"/>
            <w:gridSpan w:val="5"/>
            <w:vAlign w:val="center"/>
          </w:tcPr>
          <w:p>
            <w:pPr>
              <w:snapToGrid w:val="0"/>
              <w:spacing w:line="280" w:lineRule="exact"/>
              <w:jc w:val="left"/>
              <w:rPr>
                <w:rFonts w:hint="eastAsia" w:ascii="Times New Roman" w:hAnsi="Times New Roman" w:cs="Times New Roman"/>
                <w:b/>
                <w:sz w:val="20"/>
                <w:szCs w:val="22"/>
                <w:lang w:val="en-US" w:eastAsia="zh-CN"/>
              </w:rPr>
            </w:pPr>
            <w:r>
              <w:rPr>
                <w:rFonts w:hint="eastAsia"/>
                <w:b/>
                <w:sz w:val="20"/>
              </w:rPr>
              <w:t>中华人民共和国</w:t>
            </w:r>
            <w:r>
              <w:rPr>
                <w:rFonts w:hint="eastAsia"/>
                <w:b/>
                <w:sz w:val="20"/>
                <w:lang w:val="en-US" w:eastAsia="zh-CN"/>
              </w:rPr>
              <w:t>产品质量法、</w:t>
            </w:r>
            <w:r>
              <w:rPr>
                <w:rFonts w:hint="eastAsia"/>
                <w:b/>
                <w:sz w:val="20"/>
              </w:rPr>
              <w:t>环境保护法</w:t>
            </w:r>
            <w:r>
              <w:rPr>
                <w:rFonts w:hint="eastAsia"/>
                <w:b/>
                <w:sz w:val="20"/>
                <w:lang w:eastAsia="zh-CN"/>
              </w:rPr>
              <w:t>、</w:t>
            </w:r>
            <w:r>
              <w:rPr>
                <w:rFonts w:hint="eastAsia"/>
                <w:b/>
                <w:sz w:val="20"/>
                <w:lang w:val="en-US" w:eastAsia="zh-CN"/>
              </w:rPr>
              <w:t>水污染防治法、大气污染防治法、固体废物污染防</w:t>
            </w:r>
            <w:r>
              <w:rPr>
                <w:rFonts w:hint="eastAsia" w:ascii="Times New Roman" w:hAnsi="Times New Roman" w:cs="Times New Roman"/>
                <w:b/>
                <w:sz w:val="20"/>
                <w:szCs w:val="22"/>
                <w:lang w:val="en-US" w:eastAsia="zh-CN"/>
              </w:rPr>
              <w:t>治法、环境影响评价法、安全生产法、消防法、职业病防治法等</w:t>
            </w:r>
          </w:p>
          <w:p>
            <w:pPr>
              <w:snapToGrid w:val="0"/>
              <w:spacing w:line="280" w:lineRule="exact"/>
              <w:jc w:val="left"/>
              <w:rPr>
                <w:rFonts w:hint="eastAsia" w:ascii="Times New Roman" w:hAnsi="Times New Roman" w:cs="Times New Roman"/>
                <w:b/>
                <w:sz w:val="20"/>
                <w:szCs w:val="22"/>
                <w:lang w:val="en-US" w:eastAsia="zh-CN"/>
              </w:rPr>
            </w:pPr>
            <w:r>
              <w:rPr>
                <w:rFonts w:hint="eastAsia" w:ascii="Times New Roman" w:hAnsi="Times New Roman" w:cs="Times New Roman"/>
                <w:b/>
                <w:sz w:val="20"/>
                <w:szCs w:val="22"/>
                <w:lang w:val="en-US" w:eastAsia="zh-CN"/>
              </w:rPr>
              <w:t>相关条例、规章等</w:t>
            </w:r>
          </w:p>
          <w:p>
            <w:pPr>
              <w:snapToGrid w:val="0"/>
              <w:spacing w:line="280" w:lineRule="exact"/>
              <w:jc w:val="left"/>
              <w:rPr>
                <w:rFonts w:hint="eastAsia" w:ascii="Times New Roman" w:hAnsi="Times New Roman" w:cs="Times New Roman"/>
                <w:b/>
                <w:sz w:val="20"/>
                <w:szCs w:val="22"/>
                <w:lang w:val="en-US" w:eastAsia="zh-CN"/>
              </w:rPr>
            </w:pPr>
            <w:r>
              <w:rPr>
                <w:rFonts w:hint="eastAsia" w:ascii="Times New Roman" w:hAnsi="Times New Roman" w:cs="Times New Roman"/>
                <w:b/>
                <w:sz w:val="20"/>
                <w:szCs w:val="22"/>
                <w:lang w:val="en-US" w:eastAsia="zh-CN"/>
              </w:rPr>
              <w:t>《</w:t>
            </w:r>
            <w:r>
              <w:rPr>
                <w:rFonts w:hint="eastAsia" w:cs="Times New Roman"/>
                <w:b/>
                <w:sz w:val="20"/>
                <w:szCs w:val="22"/>
                <w:lang w:val="en-US" w:eastAsia="zh-CN"/>
              </w:rPr>
              <w:t>印染布可比单位综合能耗限额及计算方法</w:t>
            </w:r>
            <w:r>
              <w:rPr>
                <w:rFonts w:hint="eastAsia" w:ascii="Times New Roman" w:hAnsi="Times New Roman" w:cs="Times New Roman"/>
                <w:b/>
                <w:sz w:val="20"/>
                <w:szCs w:val="22"/>
                <w:lang w:val="en-US" w:eastAsia="zh-CN"/>
              </w:rPr>
              <w:t>》（</w:t>
            </w:r>
            <w:r>
              <w:rPr>
                <w:rFonts w:hint="eastAsia" w:cs="Times New Roman"/>
                <w:b/>
                <w:sz w:val="20"/>
                <w:szCs w:val="22"/>
                <w:lang w:val="en-US" w:eastAsia="zh-CN"/>
              </w:rPr>
              <w:t>D</w:t>
            </w:r>
            <w:r>
              <w:rPr>
                <w:rFonts w:hint="eastAsia" w:ascii="Times New Roman" w:hAnsi="Times New Roman" w:cs="Times New Roman"/>
                <w:b/>
                <w:sz w:val="20"/>
                <w:szCs w:val="22"/>
                <w:lang w:val="en-US" w:eastAsia="zh-CN"/>
              </w:rPr>
              <w:t>B 3</w:t>
            </w:r>
            <w:r>
              <w:rPr>
                <w:rFonts w:hint="eastAsia" w:cs="Times New Roman"/>
                <w:b/>
                <w:sz w:val="20"/>
                <w:szCs w:val="22"/>
                <w:lang w:val="en-US" w:eastAsia="zh-CN"/>
              </w:rPr>
              <w:t>3/685</w:t>
            </w:r>
            <w:r>
              <w:rPr>
                <w:rFonts w:hint="eastAsia" w:ascii="Times New Roman" w:hAnsi="Times New Roman" w:cs="Times New Roman"/>
                <w:b/>
                <w:sz w:val="20"/>
                <w:szCs w:val="22"/>
                <w:lang w:val="en-US" w:eastAsia="zh-CN"/>
              </w:rPr>
              <w:t>-201</w:t>
            </w:r>
            <w:r>
              <w:rPr>
                <w:rFonts w:hint="eastAsia" w:cs="Times New Roman"/>
                <w:b/>
                <w:sz w:val="20"/>
                <w:szCs w:val="22"/>
                <w:lang w:val="en-US" w:eastAsia="zh-CN"/>
              </w:rPr>
              <w:t>2(2013)</w:t>
            </w:r>
            <w:r>
              <w:rPr>
                <w:rFonts w:hint="eastAsia" w:ascii="Times New Roman" w:hAnsi="Times New Roman" w:cs="Times New Roman"/>
                <w:b/>
                <w:sz w:val="20"/>
                <w:szCs w:val="22"/>
                <w:lang w:val="en-US" w:eastAsia="zh-CN"/>
              </w:rPr>
              <w:t>）；</w:t>
            </w:r>
          </w:p>
          <w:p>
            <w:pPr>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Times New Roman" w:hAnsi="Times New Roman" w:cs="Times New Roman"/>
                <w:b/>
                <w:color w:val="auto"/>
                <w:sz w:val="20"/>
                <w:szCs w:val="22"/>
                <w:highlight w:val="none"/>
                <w:lang w:val="en-US" w:eastAsia="zh-CN"/>
              </w:rPr>
            </w:pPr>
            <w:r>
              <w:rPr>
                <w:rFonts w:hint="eastAsia" w:ascii="Times New Roman" w:hAnsi="Times New Roman" w:cs="Times New Roman"/>
                <w:b/>
                <w:sz w:val="20"/>
                <w:szCs w:val="22"/>
                <w:lang w:val="en-US" w:eastAsia="zh-CN"/>
              </w:rPr>
              <w:t>《工作场所有害因</w:t>
            </w:r>
            <w:r>
              <w:rPr>
                <w:rFonts w:hint="eastAsia" w:ascii="Times New Roman" w:hAnsi="Times New Roman" w:cs="Times New Roman"/>
                <w:b/>
                <w:color w:val="auto"/>
                <w:sz w:val="20"/>
                <w:szCs w:val="22"/>
                <w:highlight w:val="none"/>
                <w:lang w:val="en-US" w:eastAsia="zh-CN"/>
              </w:rPr>
              <w:t>素职业接触限值 第1部分：化学有害因素》GBZ2. 1-20</w:t>
            </w:r>
            <w:r>
              <w:rPr>
                <w:rFonts w:hint="eastAsia" w:cs="Times New Roman"/>
                <w:b/>
                <w:color w:val="auto"/>
                <w:sz w:val="20"/>
                <w:szCs w:val="22"/>
                <w:highlight w:val="none"/>
                <w:lang w:val="en-US" w:eastAsia="zh-CN"/>
              </w:rPr>
              <w:t>19</w:t>
            </w:r>
            <w:r>
              <w:rPr>
                <w:rFonts w:hint="eastAsia" w:ascii="Times New Roman" w:hAnsi="Times New Roman" w:cs="Times New Roman"/>
                <w:b/>
                <w:color w:val="auto"/>
                <w:sz w:val="20"/>
                <w:szCs w:val="22"/>
                <w:highlight w:val="none"/>
                <w:lang w:val="en-US" w:eastAsia="zh-CN"/>
              </w:rPr>
              <w:t>；</w:t>
            </w:r>
          </w:p>
          <w:p>
            <w:pPr>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Times New Roman" w:hAnsi="Times New Roman" w:cs="Times New Roman"/>
                <w:b/>
                <w:sz w:val="20"/>
                <w:szCs w:val="22"/>
                <w:lang w:val="en-US" w:eastAsia="zh-CN"/>
              </w:rPr>
            </w:pPr>
            <w:r>
              <w:rPr>
                <w:rFonts w:hint="eastAsia" w:ascii="Times New Roman" w:hAnsi="Times New Roman" w:cs="Times New Roman"/>
                <w:b/>
                <w:color w:val="auto"/>
                <w:sz w:val="20"/>
                <w:szCs w:val="22"/>
                <w:highlight w:val="none"/>
                <w:lang w:val="en-US" w:eastAsia="zh-CN"/>
              </w:rPr>
              <w:t>《工作场所有害因素职业接触限值 第2部分：物理</w:t>
            </w:r>
            <w:r>
              <w:rPr>
                <w:rFonts w:hint="eastAsia" w:ascii="Times New Roman" w:hAnsi="Times New Roman" w:cs="Times New Roman"/>
                <w:b/>
                <w:sz w:val="20"/>
                <w:szCs w:val="22"/>
                <w:lang w:val="en-US" w:eastAsia="zh-CN"/>
              </w:rPr>
              <w:t>因素》GBZ 2. 2-20</w:t>
            </w:r>
            <w:r>
              <w:rPr>
                <w:rFonts w:hint="eastAsia" w:cs="Times New Roman"/>
                <w:b/>
                <w:sz w:val="20"/>
                <w:szCs w:val="22"/>
                <w:lang w:val="en-US" w:eastAsia="zh-CN"/>
              </w:rPr>
              <w:t>19</w:t>
            </w:r>
            <w:r>
              <w:rPr>
                <w:rFonts w:hint="eastAsia" w:ascii="Times New Roman" w:hAnsi="Times New Roman" w:cs="Times New Roman"/>
                <w:b/>
                <w:sz w:val="20"/>
                <w:szCs w:val="22"/>
                <w:lang w:val="en-US" w:eastAsia="zh-CN"/>
              </w:rPr>
              <w:t>；</w:t>
            </w:r>
          </w:p>
          <w:p>
            <w:pPr>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Times New Roman" w:hAnsi="Times New Roman" w:cs="Times New Roman"/>
                <w:b/>
                <w:sz w:val="20"/>
                <w:szCs w:val="22"/>
                <w:lang w:val="en-US" w:eastAsia="zh-CN"/>
              </w:rPr>
            </w:pPr>
            <w:r>
              <w:rPr>
                <w:rFonts w:hint="eastAsia" w:ascii="Times New Roman" w:hAnsi="Times New Roman" w:cs="Times New Roman"/>
                <w:b/>
                <w:sz w:val="20"/>
                <w:szCs w:val="22"/>
                <w:lang w:val="en-US" w:eastAsia="zh-CN"/>
              </w:rPr>
              <w:t>《大气污染物综合排放标准》（GB16297-1996）；</w:t>
            </w:r>
          </w:p>
          <w:p>
            <w:pPr>
              <w:pStyle w:val="2"/>
              <w:keepLines w:val="0"/>
              <w:pageBreakBefore w:val="0"/>
              <w:widowControl w:val="0"/>
              <w:kinsoku/>
              <w:wordWrap/>
              <w:overflowPunct/>
              <w:topLinePunct w:val="0"/>
              <w:autoSpaceDE/>
              <w:autoSpaceDN/>
              <w:bidi w:val="0"/>
              <w:adjustRightInd/>
              <w:spacing w:line="240" w:lineRule="auto"/>
              <w:jc w:val="left"/>
              <w:textAlignment w:val="auto"/>
              <w:rPr>
                <w:rFonts w:hint="eastAsia" w:ascii="Times New Roman" w:hAnsi="Times New Roman" w:eastAsia="宋体" w:cs="Times New Roman"/>
                <w:b/>
                <w:spacing w:val="0"/>
                <w:kern w:val="2"/>
                <w:sz w:val="20"/>
                <w:szCs w:val="22"/>
                <w:lang w:val="en-US" w:eastAsia="zh-CN" w:bidi="ar-SA"/>
              </w:rPr>
            </w:pPr>
            <w:r>
              <w:rPr>
                <w:rFonts w:hint="eastAsia" w:ascii="Times New Roman" w:hAnsi="Times New Roman" w:eastAsia="宋体" w:cs="Times New Roman"/>
                <w:b/>
                <w:spacing w:val="0"/>
                <w:kern w:val="2"/>
                <w:sz w:val="20"/>
                <w:szCs w:val="22"/>
                <w:lang w:val="en-US" w:eastAsia="zh-CN" w:bidi="ar-SA"/>
              </w:rPr>
              <w:t>《污水综合排放标准》(GB8978-1996)</w:t>
            </w:r>
          </w:p>
          <w:p>
            <w:pPr>
              <w:pStyle w:val="2"/>
              <w:keepLines w:val="0"/>
              <w:pageBreakBefore w:val="0"/>
              <w:widowControl w:val="0"/>
              <w:kinsoku/>
              <w:wordWrap/>
              <w:overflowPunct/>
              <w:topLinePunct w:val="0"/>
              <w:autoSpaceDE/>
              <w:autoSpaceDN/>
              <w:bidi w:val="0"/>
              <w:adjustRightInd/>
              <w:spacing w:line="240" w:lineRule="auto"/>
              <w:jc w:val="left"/>
              <w:textAlignment w:val="auto"/>
              <w:rPr>
                <w:rFonts w:hint="eastAsia" w:ascii="Times New Roman" w:hAnsi="Times New Roman" w:eastAsia="宋体" w:cs="Times New Roman"/>
                <w:b/>
                <w:spacing w:val="0"/>
                <w:kern w:val="2"/>
                <w:sz w:val="20"/>
                <w:szCs w:val="22"/>
                <w:lang w:val="en-US" w:eastAsia="zh-CN" w:bidi="ar-SA"/>
              </w:rPr>
            </w:pPr>
            <w:r>
              <w:rPr>
                <w:rFonts w:hint="eastAsia" w:ascii="Times New Roman" w:hAnsi="Times New Roman" w:eastAsia="宋体" w:cs="Times New Roman"/>
                <w:b/>
                <w:spacing w:val="0"/>
                <w:kern w:val="2"/>
                <w:sz w:val="20"/>
                <w:szCs w:val="22"/>
                <w:lang w:val="en-US" w:eastAsia="zh-CN" w:bidi="ar-SA"/>
              </w:rPr>
              <w:t>《锅炉大气污染物排放标准》GB13271-2001</w:t>
            </w:r>
          </w:p>
          <w:p>
            <w:pPr>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Times New Roman" w:hAnsi="Times New Roman" w:cs="Times New Roman"/>
                <w:b/>
                <w:sz w:val="20"/>
                <w:szCs w:val="22"/>
                <w:lang w:val="en-US" w:eastAsia="zh-CN"/>
              </w:rPr>
            </w:pPr>
            <w:r>
              <w:rPr>
                <w:rFonts w:hint="eastAsia" w:ascii="Times New Roman" w:hAnsi="Times New Roman" w:cs="Times New Roman"/>
                <w:b/>
                <w:sz w:val="20"/>
                <w:szCs w:val="22"/>
                <w:lang w:val="en-US" w:eastAsia="zh-CN"/>
              </w:rPr>
              <w:t>厂界噪声执行《工业企业厂界环境噪声排放标准》（GB12348-2008）等</w:t>
            </w:r>
          </w:p>
          <w:p>
            <w:pPr>
              <w:snapToGrid w:val="0"/>
              <w:spacing w:line="280" w:lineRule="exact"/>
              <w:jc w:val="both"/>
              <w:rPr>
                <w:rFonts w:hint="eastAsia" w:ascii="Times New Roman" w:hAnsi="Times New Roman" w:cs="Times New Roman"/>
                <w:b/>
                <w:sz w:val="20"/>
                <w:szCs w:val="22"/>
                <w:highlight w:val="none"/>
                <w:lang w:val="en-US" w:eastAsia="zh-CN"/>
              </w:rPr>
            </w:pPr>
            <w:r>
              <w:rPr>
                <w:rFonts w:hint="eastAsia" w:ascii="Times New Roman" w:hAnsi="Times New Roman" w:cs="Times New Roman"/>
                <w:b/>
                <w:sz w:val="20"/>
                <w:szCs w:val="22"/>
                <w:highlight w:val="none"/>
                <w:lang w:val="en-US" w:eastAsia="zh-CN"/>
              </w:rPr>
              <w:t>产品相关的标准：</w:t>
            </w:r>
          </w:p>
          <w:p>
            <w:pPr>
              <w:snapToGrid w:val="0"/>
              <w:spacing w:line="280" w:lineRule="exact"/>
              <w:jc w:val="both"/>
              <w:rPr>
                <w:rFonts w:hint="eastAsia" w:ascii="Times New Roman" w:hAnsi="Times New Roman" w:cs="Times New Roman"/>
                <w:b/>
                <w:sz w:val="20"/>
                <w:szCs w:val="22"/>
                <w:highlight w:val="none"/>
                <w:lang w:val="en-US" w:eastAsia="zh-CN"/>
              </w:rPr>
            </w:pPr>
            <w:r>
              <w:rPr>
                <w:rFonts w:hint="eastAsia" w:ascii="Times New Roman" w:hAnsi="Times New Roman" w:cs="Times New Roman"/>
                <w:b/>
                <w:sz w:val="20"/>
                <w:szCs w:val="22"/>
                <w:highlight w:val="none"/>
                <w:lang w:val="en-US" w:eastAsia="zh-CN"/>
              </w:rPr>
              <w:t>1、FZ/T 43026-2013</w:t>
            </w:r>
            <w:r>
              <w:rPr>
                <w:rFonts w:hint="eastAsia" w:cs="Times New Roman"/>
                <w:b/>
                <w:sz w:val="20"/>
                <w:szCs w:val="22"/>
                <w:highlight w:val="none"/>
                <w:lang w:val="en-US" w:eastAsia="zh-CN"/>
              </w:rPr>
              <w:t xml:space="preserve"> </w:t>
            </w:r>
            <w:r>
              <w:rPr>
                <w:rFonts w:hint="eastAsia" w:ascii="Times New Roman" w:hAnsi="Times New Roman" w:cs="Times New Roman"/>
                <w:b/>
                <w:sz w:val="20"/>
                <w:szCs w:val="22"/>
                <w:highlight w:val="none"/>
                <w:lang w:val="en-US" w:eastAsia="zh-CN"/>
              </w:rPr>
              <w:t>高密超细旦涤纶丝织物</w:t>
            </w:r>
          </w:p>
          <w:p>
            <w:pPr>
              <w:snapToGrid w:val="0"/>
              <w:spacing w:line="280" w:lineRule="exact"/>
              <w:jc w:val="both"/>
              <w:rPr>
                <w:rFonts w:hint="eastAsia" w:ascii="Times New Roman" w:hAnsi="Times New Roman" w:cs="Times New Roman"/>
                <w:b/>
                <w:sz w:val="20"/>
                <w:szCs w:val="22"/>
                <w:highlight w:val="none"/>
                <w:lang w:val="en-US" w:eastAsia="zh-CN"/>
              </w:rPr>
            </w:pPr>
            <w:r>
              <w:rPr>
                <w:rFonts w:hint="eastAsia" w:ascii="Times New Roman" w:hAnsi="Times New Roman" w:cs="Times New Roman"/>
                <w:b/>
                <w:sz w:val="20"/>
                <w:szCs w:val="22"/>
                <w:highlight w:val="none"/>
                <w:lang w:val="en-US" w:eastAsia="zh-CN"/>
              </w:rPr>
              <w:t>2、FZ/T 81012-2016</w:t>
            </w:r>
            <w:r>
              <w:rPr>
                <w:rFonts w:hint="eastAsia" w:cs="Times New Roman"/>
                <w:b/>
                <w:sz w:val="20"/>
                <w:szCs w:val="22"/>
                <w:highlight w:val="none"/>
                <w:lang w:val="en-US" w:eastAsia="zh-CN"/>
              </w:rPr>
              <w:t xml:space="preserve"> </w:t>
            </w:r>
            <w:r>
              <w:rPr>
                <w:rFonts w:hint="eastAsia" w:ascii="Times New Roman" w:hAnsi="Times New Roman" w:cs="Times New Roman"/>
                <w:b/>
                <w:sz w:val="20"/>
                <w:szCs w:val="22"/>
                <w:highlight w:val="none"/>
                <w:lang w:val="en-US" w:eastAsia="zh-CN"/>
              </w:rPr>
              <w:t>机织围巾、披肩</w:t>
            </w:r>
          </w:p>
          <w:p>
            <w:pPr>
              <w:snapToGrid w:val="0"/>
              <w:spacing w:line="280" w:lineRule="exact"/>
              <w:jc w:val="both"/>
              <w:rPr>
                <w:rFonts w:hint="eastAsia" w:ascii="Times New Roman" w:hAnsi="Times New Roman" w:cs="Times New Roman"/>
                <w:b/>
                <w:sz w:val="20"/>
                <w:szCs w:val="22"/>
                <w:highlight w:val="none"/>
                <w:lang w:val="en-US" w:eastAsia="zh-CN"/>
              </w:rPr>
            </w:pPr>
            <w:r>
              <w:rPr>
                <w:rFonts w:hint="eastAsia" w:ascii="Times New Roman" w:hAnsi="Times New Roman" w:cs="Times New Roman"/>
                <w:b/>
                <w:sz w:val="20"/>
                <w:szCs w:val="22"/>
                <w:highlight w:val="none"/>
                <w:lang w:val="en-US" w:eastAsia="zh-CN"/>
              </w:rPr>
              <w:t>3、GB/T 9994-2018</w:t>
            </w:r>
            <w:r>
              <w:rPr>
                <w:rFonts w:hint="eastAsia" w:cs="Times New Roman"/>
                <w:b/>
                <w:sz w:val="20"/>
                <w:szCs w:val="22"/>
                <w:highlight w:val="none"/>
                <w:lang w:val="en-US" w:eastAsia="zh-CN"/>
              </w:rPr>
              <w:t xml:space="preserve"> </w:t>
            </w:r>
            <w:r>
              <w:rPr>
                <w:rFonts w:hint="eastAsia" w:ascii="Times New Roman" w:hAnsi="Times New Roman" w:cs="Times New Roman"/>
                <w:b/>
                <w:sz w:val="20"/>
                <w:szCs w:val="22"/>
                <w:highlight w:val="none"/>
                <w:lang w:val="en-US" w:eastAsia="zh-CN"/>
              </w:rPr>
              <w:t>纺织材料公定回潮率</w:t>
            </w:r>
            <w:bookmarkStart w:id="6" w:name="_GoBack"/>
            <w:bookmarkEnd w:id="6"/>
          </w:p>
          <w:p>
            <w:pPr>
              <w:snapToGrid w:val="0"/>
              <w:spacing w:line="280" w:lineRule="exact"/>
              <w:jc w:val="both"/>
              <w:rPr>
                <w:rFonts w:hint="default"/>
                <w:b/>
                <w:sz w:val="20"/>
                <w:lang w:val="en-US" w:eastAsia="zh-CN"/>
              </w:rPr>
            </w:pPr>
            <w:r>
              <w:rPr>
                <w:rFonts w:hint="eastAsia" w:cs="Times New Roman"/>
                <w:b/>
                <w:sz w:val="20"/>
                <w:szCs w:val="22"/>
                <w:highlight w:val="none"/>
                <w:lang w:val="en-US" w:eastAsia="zh-CN"/>
              </w:rPr>
              <w:t>4</w:t>
            </w:r>
            <w:r>
              <w:rPr>
                <w:rFonts w:hint="eastAsia" w:ascii="Times New Roman" w:hAnsi="Times New Roman" w:cs="Times New Roman"/>
                <w:b/>
                <w:sz w:val="20"/>
                <w:szCs w:val="22"/>
                <w:highlight w:val="none"/>
                <w:lang w:val="en-US" w:eastAsia="zh-CN"/>
              </w:rPr>
              <w:t>、GB/T 16604—2017  涤纶工业长丝</w:t>
            </w:r>
            <w:r>
              <w:rPr>
                <w:rFonts w:hint="eastAsia"/>
                <w:b/>
                <w:sz w:val="20"/>
                <w:highlight w:val="none"/>
                <w:lang w:val="en-US" w:eastAsia="zh-CN"/>
              </w:rPr>
              <w:t>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2249" w:type="dxa"/>
            <w:gridSpan w:val="2"/>
            <w:tcBorders>
              <w:left w:val="single" w:color="auto" w:sz="4" w:space="0"/>
            </w:tcBorders>
            <w:vAlign w:val="center"/>
          </w:tcPr>
          <w:p>
            <w:pPr>
              <w:snapToGrid w:val="0"/>
              <w:spacing w:line="280" w:lineRule="exact"/>
              <w:jc w:val="left"/>
              <w:rPr>
                <w:b/>
                <w:sz w:val="14"/>
                <w:szCs w:val="14"/>
              </w:rPr>
            </w:pPr>
            <w:r>
              <w:rPr>
                <w:rFonts w:hint="eastAsia"/>
                <w:b/>
                <w:sz w:val="20"/>
              </w:rPr>
              <w:t>检验和试验项目及要求</w:t>
            </w:r>
            <w:r>
              <w:rPr>
                <w:b/>
                <w:sz w:val="20"/>
              </w:rPr>
              <w:t>(</w:t>
            </w:r>
            <w:r>
              <w:rPr>
                <w:rFonts w:hint="eastAsia"/>
                <w:b/>
                <w:sz w:val="20"/>
              </w:rPr>
              <w:t>如有型式试验要求</w:t>
            </w:r>
            <w:r>
              <w:rPr>
                <w:b/>
                <w:sz w:val="20"/>
              </w:rPr>
              <w:t>,</w:t>
            </w:r>
            <w:r>
              <w:rPr>
                <w:rFonts w:hint="eastAsia"/>
                <w:b/>
                <w:sz w:val="20"/>
              </w:rPr>
              <w:t>要进行说明</w:t>
            </w:r>
            <w:r>
              <w:rPr>
                <w:b/>
                <w:sz w:val="20"/>
              </w:rPr>
              <w:t>)</w:t>
            </w:r>
          </w:p>
        </w:tc>
        <w:tc>
          <w:tcPr>
            <w:tcW w:w="8424" w:type="dxa"/>
            <w:gridSpan w:val="5"/>
            <w:vAlign w:val="center"/>
          </w:tcPr>
          <w:p>
            <w:pPr>
              <w:snapToGrid w:val="0"/>
              <w:spacing w:line="280" w:lineRule="exact"/>
              <w:jc w:val="both"/>
              <w:rPr>
                <w:rFonts w:hint="default" w:eastAsia="宋体"/>
                <w:b/>
                <w:sz w:val="20"/>
                <w:lang w:val="en-US" w:eastAsia="zh-CN"/>
              </w:rPr>
            </w:pPr>
            <w:r>
              <w:rPr>
                <w:rFonts w:hint="eastAsia"/>
                <w:b/>
                <w:sz w:val="20"/>
                <w:lang w:val="en-US" w:eastAsia="zh-CN"/>
              </w:rPr>
              <w:t>政府根据需要进行检验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bottom w:val="single" w:color="auto" w:sz="8" w:space="0"/>
            </w:tcBorders>
            <w:vAlign w:val="center"/>
          </w:tcPr>
          <w:p>
            <w:pPr>
              <w:snapToGrid w:val="0"/>
              <w:spacing w:line="280" w:lineRule="exact"/>
              <w:jc w:val="center"/>
              <w:rPr>
                <w:b/>
                <w:sz w:val="16"/>
                <w:szCs w:val="16"/>
              </w:rPr>
            </w:pPr>
            <w:r>
              <w:rPr>
                <w:rFonts w:hint="eastAsia"/>
                <w:b/>
                <w:sz w:val="20"/>
              </w:rPr>
              <w:t>其它相关知识</w:t>
            </w:r>
          </w:p>
        </w:tc>
        <w:tc>
          <w:tcPr>
            <w:tcW w:w="8424" w:type="dxa"/>
            <w:gridSpan w:val="5"/>
            <w:tcBorders>
              <w:bottom w:val="single" w:color="auto" w:sz="8" w:space="0"/>
            </w:tcBorders>
            <w:vAlign w:val="center"/>
          </w:tcPr>
          <w:p>
            <w:pPr>
              <w:snapToGrid w:val="0"/>
              <w:spacing w:line="280" w:lineRule="exact"/>
              <w:jc w:val="both"/>
              <w:rPr>
                <w:rFonts w:hint="default" w:eastAsia="宋体"/>
                <w:b/>
                <w:sz w:val="20"/>
                <w:lang w:val="en-US" w:eastAsia="zh-CN"/>
              </w:rPr>
            </w:pPr>
          </w:p>
        </w:tc>
      </w:tr>
    </w:tbl>
    <w:p>
      <w:pPr>
        <w:snapToGrid w:val="0"/>
        <w:rPr>
          <w:rFonts w:ascii="宋体"/>
          <w:b/>
          <w:sz w:val="22"/>
          <w:szCs w:val="22"/>
        </w:rPr>
      </w:pPr>
    </w:p>
    <w:p>
      <w:pPr>
        <w:snapToGrid w:val="0"/>
        <w:rPr>
          <w:rFonts w:hint="default" w:ascii="宋体" w:eastAsia="宋体"/>
          <w:b/>
          <w:spacing w:val="-6"/>
          <w:sz w:val="18"/>
          <w:szCs w:val="18"/>
          <w:lang w:val="en-US" w:eastAsia="zh-CN"/>
        </w:rPr>
      </w:pPr>
      <w:r>
        <w:rPr>
          <w:rFonts w:hint="eastAsia" w:ascii="宋体"/>
          <w:b/>
          <w:sz w:val="22"/>
          <w:szCs w:val="22"/>
        </w:rPr>
        <w:t>填表人</w:t>
      </w:r>
      <w:r>
        <w:rPr>
          <w:rFonts w:ascii="宋体"/>
          <w:b/>
          <w:sz w:val="22"/>
          <w:szCs w:val="22"/>
        </w:rPr>
        <w:t>(</w:t>
      </w:r>
      <w:r>
        <w:rPr>
          <w:rFonts w:hint="eastAsia" w:ascii="宋体"/>
          <w:b/>
          <w:sz w:val="22"/>
          <w:szCs w:val="22"/>
        </w:rPr>
        <w:t>专业人员</w:t>
      </w:r>
      <w:r>
        <w:rPr>
          <w:rFonts w:ascii="宋体"/>
          <w:b/>
          <w:sz w:val="22"/>
          <w:szCs w:val="22"/>
        </w:rPr>
        <w:t>)</w:t>
      </w:r>
      <w:r>
        <w:rPr>
          <w:rFonts w:hint="eastAsia" w:ascii="宋体"/>
          <w:b/>
          <w:sz w:val="18"/>
          <w:szCs w:val="18"/>
        </w:rPr>
        <w:t>：</w:t>
      </w:r>
      <w:r>
        <w:rPr>
          <w:rFonts w:hint="eastAsia" w:ascii="宋体"/>
          <w:b/>
          <w:sz w:val="22"/>
          <w:szCs w:val="22"/>
          <w:lang w:val="en-US" w:eastAsia="zh-CN"/>
        </w:rPr>
        <w:t xml:space="preserve">李丽英  </w:t>
      </w:r>
      <w:r>
        <w:rPr>
          <w:rFonts w:hint="eastAsia" w:ascii="宋体"/>
          <w:b/>
          <w:sz w:val="18"/>
          <w:szCs w:val="18"/>
        </w:rPr>
        <w:t xml:space="preserve">  </w:t>
      </w:r>
      <w:r>
        <w:rPr>
          <w:rFonts w:hint="eastAsia"/>
          <w:b/>
          <w:sz w:val="22"/>
          <w:szCs w:val="22"/>
        </w:rPr>
        <w:t>日期</w:t>
      </w:r>
      <w:r>
        <w:rPr>
          <w:rFonts w:hint="eastAsia"/>
          <w:b/>
          <w:sz w:val="18"/>
          <w:szCs w:val="18"/>
        </w:rPr>
        <w:t xml:space="preserve">： </w:t>
      </w:r>
      <w:r>
        <w:rPr>
          <w:rFonts w:hint="eastAsia" w:ascii="宋体"/>
          <w:b/>
          <w:sz w:val="22"/>
          <w:szCs w:val="22"/>
          <w:lang w:val="en-US" w:eastAsia="zh-CN"/>
        </w:rPr>
        <w:t xml:space="preserve">2021.3.22 </w:t>
      </w:r>
      <w:r>
        <w:rPr>
          <w:rFonts w:hint="eastAsia"/>
          <w:b/>
          <w:sz w:val="18"/>
          <w:szCs w:val="18"/>
        </w:rPr>
        <w:t xml:space="preserve">     </w:t>
      </w:r>
      <w:r>
        <w:rPr>
          <w:rFonts w:hint="eastAsia" w:ascii="宋体"/>
          <w:b/>
          <w:sz w:val="22"/>
          <w:szCs w:val="22"/>
        </w:rPr>
        <w:t>审核组长</w:t>
      </w:r>
      <w:r>
        <w:rPr>
          <w:rFonts w:hint="eastAsia" w:ascii="宋体"/>
          <w:b/>
          <w:sz w:val="18"/>
          <w:szCs w:val="18"/>
        </w:rPr>
        <w:t>：</w:t>
      </w:r>
      <w:r>
        <w:drawing>
          <wp:inline distT="0" distB="0" distL="0" distR="0">
            <wp:extent cx="956310" cy="226060"/>
            <wp:effectExtent l="0" t="0" r="8890" b="2540"/>
            <wp:docPr id="1" name="图片 1" descr="D:\审核任务\电子签\李丽英电子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审核任务\电子签\李丽英电子签名.png"/>
                    <pic:cNvPicPr>
                      <a:picLocks noChangeAspect="1" noChangeArrowheads="1"/>
                    </pic:cNvPicPr>
                  </pic:nvPicPr>
                  <pic:blipFill>
                    <a:blip r:embed="rId5" cstate="print"/>
                    <a:srcRect/>
                    <a:stretch>
                      <a:fillRect/>
                    </a:stretch>
                  </pic:blipFill>
                  <pic:spPr>
                    <a:xfrm>
                      <a:off x="0" y="0"/>
                      <a:ext cx="956310" cy="226060"/>
                    </a:xfrm>
                    <a:prstGeom prst="rect">
                      <a:avLst/>
                    </a:prstGeom>
                    <a:noFill/>
                    <a:ln w="9525">
                      <a:noFill/>
                      <a:miter lim="800000"/>
                      <a:headEnd/>
                      <a:tailEnd/>
                    </a:ln>
                  </pic:spPr>
                </pic:pic>
              </a:graphicData>
            </a:graphic>
          </wp:inline>
        </w:drawing>
      </w:r>
      <w:r>
        <w:rPr>
          <w:rFonts w:hint="eastAsia" w:ascii="宋体"/>
          <w:b/>
          <w:sz w:val="18"/>
          <w:szCs w:val="18"/>
        </w:rPr>
        <w:t xml:space="preserve"> </w:t>
      </w:r>
      <w:r>
        <w:rPr>
          <w:rFonts w:hint="eastAsia" w:ascii="宋体"/>
          <w:b/>
          <w:sz w:val="18"/>
          <w:szCs w:val="18"/>
          <w:lang w:val="en-US" w:eastAsia="zh-CN"/>
        </w:rPr>
        <w:t xml:space="preserve"> </w:t>
      </w:r>
      <w:r>
        <w:rPr>
          <w:rFonts w:hint="eastAsia" w:ascii="宋体"/>
          <w:b/>
          <w:sz w:val="18"/>
          <w:szCs w:val="18"/>
        </w:rPr>
        <w:t xml:space="preserve"> </w:t>
      </w:r>
      <w:r>
        <w:rPr>
          <w:rFonts w:hint="eastAsia"/>
          <w:b/>
          <w:sz w:val="22"/>
          <w:szCs w:val="22"/>
        </w:rPr>
        <w:t>日期</w:t>
      </w:r>
      <w:r>
        <w:rPr>
          <w:rFonts w:hint="eastAsia"/>
          <w:b/>
          <w:sz w:val="18"/>
          <w:szCs w:val="18"/>
        </w:rPr>
        <w:t>：</w:t>
      </w:r>
      <w:r>
        <w:rPr>
          <w:rFonts w:hint="eastAsia" w:ascii="宋体"/>
          <w:b/>
          <w:sz w:val="22"/>
          <w:szCs w:val="22"/>
          <w:lang w:val="en-US" w:eastAsia="zh-CN"/>
        </w:rPr>
        <w:t>2021.3.22</w:t>
      </w:r>
    </w:p>
    <w:p>
      <w:pPr>
        <w:snapToGrid w:val="0"/>
        <w:rPr>
          <w:rFonts w:ascii="宋体"/>
          <w:b/>
          <w:spacing w:val="-6"/>
          <w:sz w:val="20"/>
        </w:rPr>
      </w:pPr>
      <w:r>
        <w:rPr>
          <w:rFonts w:hint="eastAsia" w:ascii="宋体"/>
          <w:b/>
          <w:spacing w:val="-6"/>
          <w:sz w:val="18"/>
          <w:szCs w:val="18"/>
        </w:rPr>
        <w:t>注：</w:t>
      </w:r>
      <w:r>
        <w:rPr>
          <w:rFonts w:hint="eastAsia" w:ascii="宋体"/>
          <w:b/>
          <w:spacing w:val="-6"/>
          <w:sz w:val="21"/>
          <w:szCs w:val="21"/>
        </w:rPr>
        <w:t>如有其他培训内容或空格不够可另加附页</w:t>
      </w:r>
    </w:p>
    <w:sectPr>
      <w:headerReference r:id="rId3" w:type="default"/>
      <w:pgSz w:w="11906" w:h="16838"/>
      <w:pgMar w:top="1134" w:right="1077" w:bottom="1134" w:left="1077" w:header="561" w:footer="482"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58240" behindDoc="1" locked="0" layoutInCell="1" allowOverlap="1">
          <wp:simplePos x="0" y="0"/>
          <wp:positionH relativeFrom="column">
            <wp:posOffset>-635</wp:posOffset>
          </wp:positionH>
          <wp:positionV relativeFrom="paragraph">
            <wp:posOffset>4445</wp:posOffset>
          </wp:positionV>
          <wp:extent cx="410210" cy="433070"/>
          <wp:effectExtent l="0" t="0" r="8890" b="11430"/>
          <wp:wrapTight wrapText="bothSides">
            <wp:wrapPolygon>
              <wp:start x="21592" y="-2"/>
              <wp:lineTo x="0" y="0"/>
              <wp:lineTo x="0" y="21600"/>
              <wp:lineTo x="21592" y="21602"/>
              <wp:lineTo x="8" y="21602"/>
              <wp:lineTo x="21600" y="21600"/>
              <wp:lineTo x="21600" y="0"/>
              <wp:lineTo x="8" y="-2"/>
              <wp:lineTo x="21592" y="-2"/>
            </wp:wrapPolygon>
          </wp:wrapTight>
          <wp:docPr id="7"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20" w:firstLineChars="400"/>
      <w:jc w:val="left"/>
    </w:pPr>
    <w:r>
      <mc:AlternateContent>
        <mc:Choice Requires="wps">
          <w:drawing>
            <wp:anchor distT="0" distB="0" distL="114300" distR="114300" simplePos="0" relativeHeight="251658240" behindDoc="0" locked="0" layoutInCell="1" allowOverlap="1">
              <wp:simplePos x="0" y="0"/>
              <wp:positionH relativeFrom="column">
                <wp:posOffset>4130675</wp:posOffset>
              </wp:positionH>
              <wp:positionV relativeFrom="paragraph">
                <wp:posOffset>27940</wp:posOffset>
              </wp:positionV>
              <wp:extent cx="2022475" cy="256540"/>
              <wp:effectExtent l="0" t="0" r="9525" b="10160"/>
              <wp:wrapNone/>
              <wp:docPr id="8" name="文本框 1"/>
              <wp:cNvGraphicFramePr/>
              <a:graphic xmlns:a="http://schemas.openxmlformats.org/drawingml/2006/main">
                <a:graphicData uri="http://schemas.microsoft.com/office/word/2010/wordprocessingShape">
                  <wps:wsp>
                    <wps:cNvSpPr txBox="1"/>
                    <wps:spPr>
                      <a:xfrm>
                        <a:off x="0" y="0"/>
                        <a:ext cx="2022475" cy="256540"/>
                      </a:xfrm>
                      <a:prstGeom prst="rect">
                        <a:avLst/>
                      </a:prstGeom>
                      <a:solidFill>
                        <a:srgbClr val="FFFFFF"/>
                      </a:solidFill>
                      <a:ln>
                        <a:noFill/>
                      </a:ln>
                    </wps:spPr>
                    <wps:txbx>
                      <w:txbxContent>
                        <w:p>
                          <w:pPr>
                            <w:ind w:firstLine="360" w:firstLineChars="200"/>
                            <w:rPr>
                              <w:sz w:val="18"/>
                              <w:szCs w:val="18"/>
                            </w:rPr>
                          </w:pPr>
                          <w:r>
                            <w:rPr>
                              <w:rFonts w:hint="eastAsia"/>
                              <w:sz w:val="18"/>
                              <w:szCs w:val="18"/>
                            </w:rPr>
                            <w:t>ISC-</w:t>
                          </w:r>
                          <w:r>
                            <w:rPr>
                              <w:sz w:val="18"/>
                              <w:szCs w:val="18"/>
                            </w:rPr>
                            <w:t>B</w:t>
                          </w:r>
                          <w:r>
                            <w:rPr>
                              <w:rFonts w:hint="eastAsia"/>
                              <w:sz w:val="18"/>
                              <w:szCs w:val="18"/>
                            </w:rPr>
                            <w:t>-I-0</w:t>
                          </w:r>
                          <w:r>
                            <w:rPr>
                              <w:sz w:val="18"/>
                              <w:szCs w:val="18"/>
                            </w:rPr>
                            <w:t>6</w:t>
                          </w:r>
                          <w:r>
                            <w:rPr>
                              <w:rFonts w:hint="eastAsia"/>
                              <w:sz w:val="18"/>
                              <w:szCs w:val="18"/>
                            </w:rPr>
                            <w:t>专业培训记录(03版)</w:t>
                          </w:r>
                        </w:p>
                      </w:txbxContent>
                    </wps:txbx>
                    <wps:bodyPr upright="1"/>
                  </wps:wsp>
                </a:graphicData>
              </a:graphic>
            </wp:anchor>
          </w:drawing>
        </mc:Choice>
        <mc:Fallback>
          <w:pict>
            <v:shape id="文本框 1" o:spid="_x0000_s1026" o:spt="202" type="#_x0000_t202" style="position:absolute;left:0pt;margin-left:325.25pt;margin-top:2.2pt;height:20.2pt;width:159.25pt;z-index:251658240;mso-width-relative:page;mso-height-relative:page;" fillcolor="#FFFFFF" filled="t" stroked="f" coordsize="21600,21600" o:gfxdata="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BNoBTVAAAACAEAAA8AAAAAAAAAAQAgAAAAIgAAAGRycy9kb3ducmV2Lnht&#10;bFBLAQIUABQAAAAIAIdO4kASKPwiwwEAAHcDAAAOAAAAAAAAAAEAIAAAACQBAABkcnMvZTJvRG9j&#10;LnhtbFBLBQYAAAAABgAGAFkBAABZBQAAAAA=&#10;">
              <v:fill on="t" focussize="0,0"/>
              <v:stroke on="f"/>
              <v:imagedata o:title=""/>
              <o:lock v:ext="edit" aspectratio="f"/>
              <v:textbox>
                <w:txbxContent>
                  <w:p>
                    <w:pPr>
                      <w:ind w:firstLine="360" w:firstLineChars="200"/>
                      <w:rPr>
                        <w:sz w:val="18"/>
                        <w:szCs w:val="18"/>
                      </w:rPr>
                    </w:pPr>
                    <w:r>
                      <w:rPr>
                        <w:rFonts w:hint="eastAsia"/>
                        <w:sz w:val="18"/>
                        <w:szCs w:val="18"/>
                      </w:rPr>
                      <w:t>ISC-</w:t>
                    </w:r>
                    <w:r>
                      <w:rPr>
                        <w:sz w:val="18"/>
                        <w:szCs w:val="18"/>
                      </w:rPr>
                      <w:t>B</w:t>
                    </w:r>
                    <w:r>
                      <w:rPr>
                        <w:rFonts w:hint="eastAsia"/>
                        <w:sz w:val="18"/>
                        <w:szCs w:val="18"/>
                      </w:rPr>
                      <w:t>-I-0</w:t>
                    </w:r>
                    <w:r>
                      <w:rPr>
                        <w:sz w:val="18"/>
                        <w:szCs w:val="18"/>
                      </w:rPr>
                      <w:t>6</w:t>
                    </w:r>
                    <w:r>
                      <w:rPr>
                        <w:rFonts w:hint="eastAsia"/>
                        <w:sz w:val="18"/>
                        <w:szCs w:val="18"/>
                      </w:rPr>
                      <w:t>专业培训记录(03版)</w:t>
                    </w:r>
                  </w:p>
                </w:txbxContent>
              </v:textbox>
            </v:shape>
          </w:pict>
        </mc:Fallback>
      </mc:AlternateContent>
    </w:r>
    <w:r>
      <w:rPr>
        <w:rStyle w:val="12"/>
        <w:rFonts w:hint="default"/>
        <w:w w:val="90"/>
      </w:rPr>
      <w:t>Beijing International Standard united Certification Co.,Ltd.</w:t>
    </w:r>
  </w:p>
  <w:p>
    <w:pPr>
      <w:pStyle w:val="6"/>
    </w:pPr>
  </w:p>
  <w:p>
    <w:pPr>
      <w:tabs>
        <w:tab w:val="left" w:pos="9245"/>
      </w:tabs>
      <w:wordWrap w:val="0"/>
      <w:ind w:right="64" w:firstLine="4600" w:firstLineChars="2300"/>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737874"/>
    <w:rsid w:val="0F000CF3"/>
    <w:rsid w:val="17C67F9E"/>
    <w:rsid w:val="28A801A4"/>
    <w:rsid w:val="31B76898"/>
    <w:rsid w:val="58752149"/>
    <w:rsid w:val="58880ACF"/>
    <w:rsid w:val="5D046806"/>
    <w:rsid w:val="63A974EC"/>
    <w:rsid w:val="643F3260"/>
    <w:rsid w:val="67D072BA"/>
    <w:rsid w:val="6A1C5449"/>
    <w:rsid w:val="6B1F2A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2"/>
    <w:basedOn w:val="1"/>
    <w:next w:val="3"/>
    <w:qFormat/>
    <w:locked/>
    <w:uiPriority w:val="0"/>
    <w:pPr>
      <w:keepNext/>
      <w:spacing w:line="400" w:lineRule="atLeast"/>
      <w:jc w:val="center"/>
      <w:outlineLvl w:val="1"/>
    </w:pPr>
    <w:rPr>
      <w:spacing w:val="8"/>
      <w:sz w:val="36"/>
      <w:szCs w:val="20"/>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line="312" w:lineRule="auto"/>
    </w:pPr>
    <w:rPr>
      <w:rFonts w:ascii="Arial" w:hAnsi="Arial" w:eastAsia="楷体_GB2312"/>
      <w:spacing w:val="20"/>
      <w:sz w:val="24"/>
      <w:szCs w:val="20"/>
    </w:rPr>
  </w:style>
  <w:style w:type="paragraph" w:styleId="4">
    <w:name w:val="Balloon Text"/>
    <w:basedOn w:val="1"/>
    <w:link w:val="11"/>
    <w:semiHidden/>
    <w:unhideWhenUsed/>
    <w:qFormat/>
    <w:uiPriority w:val="99"/>
    <w:rPr>
      <w:sz w:val="18"/>
      <w:szCs w:val="18"/>
    </w:rPr>
  </w:style>
  <w:style w:type="paragraph" w:styleId="5">
    <w:name w:val="footer"/>
    <w:basedOn w:val="1"/>
    <w:link w:val="9"/>
    <w:qFormat/>
    <w:uiPriority w:val="99"/>
    <w:pPr>
      <w:tabs>
        <w:tab w:val="center" w:pos="4153"/>
        <w:tab w:val="right" w:pos="8306"/>
      </w:tabs>
      <w:snapToGrid w:val="0"/>
      <w:jc w:val="left"/>
    </w:pPr>
    <w:rPr>
      <w:sz w:val="18"/>
      <w:szCs w:val="18"/>
    </w:rPr>
  </w:style>
  <w:style w:type="paragraph" w:styleId="6">
    <w:name w:val="header"/>
    <w:basedOn w:val="1"/>
    <w:link w:val="10"/>
    <w:uiPriority w:val="0"/>
    <w:pPr>
      <w:pBdr>
        <w:bottom w:val="single" w:color="auto" w:sz="6" w:space="1"/>
      </w:pBdr>
      <w:tabs>
        <w:tab w:val="center" w:pos="4153"/>
        <w:tab w:val="right" w:pos="8306"/>
      </w:tabs>
      <w:snapToGrid w:val="0"/>
      <w:jc w:val="center"/>
    </w:pPr>
    <w:rPr>
      <w:sz w:val="18"/>
      <w:szCs w:val="18"/>
    </w:rPr>
  </w:style>
  <w:style w:type="character" w:customStyle="1" w:styleId="9">
    <w:name w:val="页脚 字符"/>
    <w:link w:val="5"/>
    <w:qFormat/>
    <w:locked/>
    <w:uiPriority w:val="99"/>
    <w:rPr>
      <w:rFonts w:ascii="Times New Roman" w:hAnsi="Times New Roman" w:eastAsia="宋体" w:cs="Times New Roman"/>
      <w:sz w:val="18"/>
      <w:szCs w:val="18"/>
    </w:rPr>
  </w:style>
  <w:style w:type="character" w:customStyle="1" w:styleId="10">
    <w:name w:val="页眉 字符"/>
    <w:link w:val="6"/>
    <w:locked/>
    <w:uiPriority w:val="99"/>
    <w:rPr>
      <w:rFonts w:ascii="Times New Roman" w:hAnsi="Times New Roman" w:eastAsia="宋体" w:cs="Times New Roman"/>
      <w:sz w:val="18"/>
      <w:szCs w:val="18"/>
    </w:rPr>
  </w:style>
  <w:style w:type="character" w:customStyle="1" w:styleId="11">
    <w:name w:val="批注框文本 字符"/>
    <w:link w:val="4"/>
    <w:semiHidden/>
    <w:qFormat/>
    <w:uiPriority w:val="99"/>
    <w:rPr>
      <w:rFonts w:ascii="Times New Roman" w:hAnsi="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47</Words>
  <Characters>268</Characters>
  <Lines>2</Lines>
  <Paragraphs>1</Paragraphs>
  <TotalTime>0</TotalTime>
  <ScaleCrop>false</ScaleCrop>
  <LinksUpToDate>false</LinksUpToDate>
  <CharactersWithSpaces>314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2015-06-17T11:40:00Z</dcterms:created>
  <dc:creator>微软用户</dc:creator>
  <cp:lastModifiedBy>丽英</cp:lastModifiedBy>
  <dcterms:modified xsi:type="dcterms:W3CDTF">2021-03-23T09:44:30Z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