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3"/>
        <w:gridCol w:w="124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无锡市宜净环保科技有限公司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宜兴市新街街道百合场路18号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张玉云</w:t>
            </w:r>
            <w:bookmarkEnd w:id="2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13023353365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214205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0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949494412@qq.com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0200-2021-QEO</w:t>
            </w:r>
            <w:bookmarkEnd w:id="8"/>
          </w:p>
        </w:tc>
        <w:tc>
          <w:tcPr>
            <w:tcW w:w="12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Q：环保设备的销售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bookmarkEnd w:id="14"/>
            <w:r>
              <w:rPr>
                <w:rFonts w:hint="eastAsia"/>
                <w:b w:val="0"/>
                <w:bCs/>
                <w:sz w:val="21"/>
                <w:szCs w:val="21"/>
              </w:rPr>
              <w:t>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2021年03月21日 上午至2021年03月22日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  <w:bookmarkStart w:id="17" w:name="_GoBack"/>
            <w:bookmarkEnd w:id="17"/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2021.3.19</w:t>
            </w:r>
          </w:p>
        </w:tc>
      </w:tr>
    </w:tbl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2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2021.3.21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中餐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中餐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8.2产品和服务的要求、8.4外部提供过程、产品和服务的控制、8.5.1销售服务过程控制、8.5.3顾客或外部供方的财产、9.1.2顾客满意、8.5.5交付后的活动、</w:t>
            </w:r>
          </w:p>
          <w:p>
            <w:pPr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21.3.22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6.1.2环境因素的识别与评价、6.1.3合规义务、6.1.4措施的策划、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6.2.1环境目标、6.2.2实现环境目标措施的策划7.2能力、7.3意识、7.5.1形成文件的信息总则、7.5.2形成文件的信息的创建和更新、7.5.3形成文件的信息的控制、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8.1运行策划和控制、8.2应急准备和响应9.1监视测分析和评价（9.1.1总则、9.1.2合规性评价）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内部审核、10.2不符合/事件和纠正措施，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hint="default" w:ascii="宋体" w:hAnsi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245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 /OMS：5.3组织的岗位、职责和权限、6.1.2环境因素/危险源、6.2质量/环境/职业健康安全目标及其实现的策划、8.1运行策划和控制，EMS/OHSMS运行控制相关财务支出证据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b/>
                <w:sz w:val="21"/>
                <w:szCs w:val="21"/>
                <w:u w:val="wav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9D271C"/>
    <w:rsid w:val="3BE53D6C"/>
    <w:rsid w:val="49EF633B"/>
    <w:rsid w:val="51E76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2021-03-26T06:33:43Z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07A7D9E9358F48A1BFFADD2EC949C7F9</vt:lpwstr>
  </property>
</Properties>
</file>