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江苏一见达环保有限公司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0198-2021-EO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15006151568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604208583@qq.com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E：污水处理设备制造、销售；环保设备、环保填料、净水设备的销售所涉及场所的相关环境管理活动</w:t>
            </w:r>
          </w:p>
          <w:p>
            <w:r>
              <w:t>O：污水处理设备制造、销售；环保设备、环保填料、净水设备的销售所涉及场所的相关职业健康安全管理活动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E：18.05.07;29.12.00</w:t>
            </w:r>
          </w:p>
          <w:p>
            <w:r>
              <w:t>O：18.05.07;29.12.00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2021年03月18日 上午至2021年03月18日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2021.3.16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.3.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伍光华、张磊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体系覆盖产品及产品生产关键过程、特殊过程的识别和确认情况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环境因素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适用的法律和其他要求的获取、识别程序实施情况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巡查现场，特种设备查看，识别二阶段审核的资源配置情况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方针的制定与贯彻情况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管理体系文件审核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833700A"/>
    <w:multiLevelType w:val="multilevel"/>
    <w:tmpl w:val="2833700A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abstractNum w:abstractNumId="2">
    <w:nsid w:val="711D3461"/>
    <w:multiLevelType w:val="multilevel"/>
    <w:tmpl w:val="711D3461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12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2021-03-17T03:14:23Z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