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EB1BAC" w:rsidRPr="00EB1BAC">
              <w:rPr>
                <w:rFonts w:ascii="楷体" w:eastAsia="楷体" w:hAnsi="楷体" w:hint="eastAsia"/>
                <w:sz w:val="24"/>
                <w:szCs w:val="24"/>
              </w:rPr>
              <w:t>杨道然</w:t>
            </w:r>
            <w:r w:rsidR="00EB1BA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EB1BAC">
              <w:rPr>
                <w:rFonts w:ascii="楷体" w:eastAsia="楷体" w:hAnsi="楷体" w:hint="eastAsia"/>
                <w:sz w:val="24"/>
                <w:szCs w:val="24"/>
              </w:rPr>
              <w:t>黄研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B1BA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B1BAC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E80C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EB1BAC">
              <w:rPr>
                <w:rFonts w:ascii="楷体" w:eastAsia="楷体" w:hAnsi="楷体" w:hint="eastAsia"/>
                <w:sz w:val="24"/>
                <w:szCs w:val="24"/>
              </w:rPr>
              <w:t>2021.1.15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FA6AB4" w:rsidRDefault="00CB5244" w:rsidP="00F71A79">
            <w:pPr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6A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FA6AB4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6A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C4195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bookmarkStart w:id="0" w:name="_Hlt51719941"/>
                  <w:bookmarkStart w:id="1" w:name="_Hlt51719942"/>
                  <w:bookmarkEnd w:id="0"/>
                  <w:bookmarkEnd w:id="1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195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CB5244" w:rsidRPr="00FA6AB4" w:rsidRDefault="00CB5244" w:rsidP="00F71A79">
            <w:pPr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6AB4" w:rsidRDefault="00CB5244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6A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6AB4" w:rsidRDefault="005F60FE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FA6AB4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</w:t>
                  </w: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CB5244" w:rsidRPr="00FA6A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8513C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513C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513C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513C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518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518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518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518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518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518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518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CB5244" w:rsidRPr="00FA6AB4" w:rsidRDefault="00CB5244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6AB4" w:rsidRDefault="00CB5244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6A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6AB4" w:rsidRDefault="005F60FE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FA6AB4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6A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C4781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781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781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781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4781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触控一体机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媒体播放器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移动电源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CB5244" w:rsidRPr="00FA6AB4" w:rsidRDefault="00CB5244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6AB4" w:rsidRDefault="00CB5244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6AB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6AB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6AB4" w:rsidRDefault="004D5F7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6AB4" w:rsidRDefault="00CB5244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583C4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583C4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583C46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583C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人体骨骼模型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583C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心脏模型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583C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泌尿系统模型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CB5244" w:rsidRPr="00FA6AB4" w:rsidRDefault="00CB5244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A6AB4" w:rsidRDefault="00724435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A6AB4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A6AB4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C964B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964B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964B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964B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C964B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折叠椅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724435" w:rsidRPr="00FA6AB4" w:rsidRDefault="00724435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A6AB4" w:rsidRDefault="00724435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A6AB4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A6AB4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A6AB4" w:rsidRDefault="00724435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8C4FC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窗帘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菏泽耀泰校服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8C4FC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菏泽耀泰校服</w:t>
                  </w:r>
                  <w:proofErr w:type="gramEnd"/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724435" w:rsidRPr="00FA6AB4" w:rsidRDefault="00724435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FA6AB4" w:rsidRDefault="001C1039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FA6AB4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FA6AB4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FA6AB4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FA6AB4" w:rsidRDefault="001C1039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095D0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095D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FA6AB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1C1039" w:rsidRPr="00FA6AB4" w:rsidRDefault="001C1039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FA6AB4" w:rsidRDefault="00FD0528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FA6AB4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CD4A44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FA6AB4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FE75B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变速器实验装置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75B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离心泵实训装置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FE75B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D86D4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D86D4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雷诺演示实验装置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FD0528" w:rsidRPr="00FA6AB4" w:rsidRDefault="00FD0528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FD0528" w:rsidRPr="00FA6AB4" w:rsidRDefault="00FD0528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FD0528" w:rsidRPr="00FA6AB4" w:rsidTr="00F73F7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FA6AB4"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FD0528" w:rsidRPr="00FA6AB4" w:rsidTr="00F73F7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D0528" w:rsidRPr="00FA6AB4" w:rsidRDefault="00FD0528" w:rsidP="00F71A7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6AB4" w:rsidRPr="00FA6AB4" w:rsidTr="006D1B6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发动机模型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EB1BA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发电轮仪器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咨询室仪器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  <w:tr w:rsidR="00FA6AB4" w:rsidRPr="00FA6AB4" w:rsidTr="006D1B6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FA6AB4" w:rsidRPr="00FA6AB4" w:rsidRDefault="00FA6AB4" w:rsidP="00F71A7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6AB4" w:rsidRPr="00FA6AB4" w:rsidRDefault="00FA6AB4" w:rsidP="00F71A7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FA6AB4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杨崇义</w:t>
                  </w:r>
                </w:p>
              </w:tc>
            </w:tr>
          </w:tbl>
          <w:p w:rsidR="00FD0528" w:rsidRPr="00CD4A44" w:rsidRDefault="00FD0528" w:rsidP="00F71A79">
            <w:pPr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B1BAC">
              <w:rPr>
                <w:rFonts w:ascii="楷体" w:eastAsia="楷体" w:hAnsi="楷体" w:hint="eastAsia"/>
                <w:sz w:val="24"/>
                <w:szCs w:val="24"/>
              </w:rPr>
              <w:t>黄研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检查人：</w:t>
            </w:r>
            <w:r w:rsidR="00EB1BAC">
              <w:rPr>
                <w:rFonts w:ascii="楷体" w:eastAsia="楷体" w:hAnsi="楷体" w:hint="eastAsia"/>
                <w:sz w:val="24"/>
                <w:szCs w:val="24"/>
              </w:rPr>
              <w:t>梁金现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4A44" w:rsidRDefault="008D5718" w:rsidP="00CD4A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24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1B1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70A96" w:rsidRPr="00770A96">
              <w:rPr>
                <w:rFonts w:ascii="楷体" w:eastAsia="楷体" w:hAnsi="楷体" w:hint="eastAsia"/>
                <w:sz w:val="24"/>
                <w:szCs w:val="24"/>
              </w:rPr>
              <w:t>杨道然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97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B1BAC">
              <w:rPr>
                <w:rFonts w:ascii="楷体" w:eastAsia="楷体" w:hAnsi="楷体" w:hint="eastAsia"/>
                <w:sz w:val="24"/>
                <w:szCs w:val="24"/>
              </w:rPr>
              <w:t>梁金现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4A44" w:rsidRDefault="00CD4A44" w:rsidP="00CD4A4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梁洪山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70A9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B1BAC">
              <w:rPr>
                <w:rFonts w:ascii="楷体" w:eastAsia="楷体" w:hAnsi="楷体" w:hint="eastAsia"/>
                <w:sz w:val="24"/>
                <w:szCs w:val="24"/>
              </w:rPr>
              <w:t>梁金现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EB1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85A4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85A4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385A43" w:rsidRPr="00385A43">
              <w:rPr>
                <w:rFonts w:ascii="楷体" w:eastAsia="楷体" w:hAnsi="楷体" w:cs="楷体" w:hint="eastAsia"/>
                <w:sz w:val="24"/>
                <w:szCs w:val="24"/>
              </w:rPr>
              <w:t>1个投影机包装破损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85A4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29E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85A4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385A43" w:rsidRPr="00385A43">
              <w:rPr>
                <w:rFonts w:ascii="楷体" w:eastAsia="楷体" w:hAnsi="楷体" w:cs="楷体" w:hint="eastAsia"/>
                <w:sz w:val="24"/>
                <w:szCs w:val="24"/>
              </w:rPr>
              <w:t>杨道然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</w:t>
            </w:r>
            <w:r w:rsidR="00246E31">
              <w:rPr>
                <w:rFonts w:ascii="楷体" w:eastAsia="楷体" w:hAnsi="楷体" w:cs="楷体" w:hint="eastAsia"/>
                <w:sz w:val="24"/>
                <w:szCs w:val="24"/>
              </w:rPr>
              <w:t>纸张等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</w:t>
            </w:r>
            <w:r w:rsidR="00246E31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</w:t>
            </w:r>
            <w:r w:rsidR="00246E31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风险评价</w:t>
            </w:r>
            <w:r w:rsidR="00246E31">
              <w:rPr>
                <w:rFonts w:ascii="楷体" w:eastAsia="楷体" w:hAnsi="楷体" w:cs="楷体" w:hint="eastAsia"/>
                <w:sz w:val="24"/>
                <w:szCs w:val="24"/>
              </w:rPr>
              <w:t>一览表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CA0189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02FBF">
              <w:rPr>
                <w:rFonts w:ascii="楷体" w:eastAsia="楷体" w:hAnsi="楷体" w:cs="楷体" w:hint="eastAsia"/>
                <w:sz w:val="24"/>
                <w:szCs w:val="24"/>
              </w:rPr>
              <w:t>碰伤</w:t>
            </w:r>
            <w:r w:rsidR="00CD4A44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、检验活动过程中的玻璃仪器划伤</w:t>
            </w:r>
            <w:r w:rsidR="00D02FBF">
              <w:rPr>
                <w:rFonts w:ascii="楷体" w:eastAsia="楷体" w:hAnsi="楷体" w:cs="楷体" w:hint="eastAsia"/>
                <w:sz w:val="24"/>
                <w:szCs w:val="24"/>
              </w:rPr>
              <w:t>、触电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EB1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EB1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F4EA5" w:rsidRPr="003F4EA5">
              <w:rPr>
                <w:rFonts w:ascii="楷体" w:eastAsia="楷体" w:hAnsi="楷体" w:cs="楷体" w:hint="eastAsia"/>
                <w:sz w:val="24"/>
                <w:szCs w:val="24"/>
              </w:rPr>
              <w:t>消防安全管理程序</w:t>
            </w:r>
            <w:r w:rsidR="003F4EA5" w:rsidRPr="003F4EA5">
              <w:rPr>
                <w:rFonts w:ascii="楷体" w:eastAsia="楷体" w:hAnsi="楷体" w:cs="楷体" w:hint="eastAsia"/>
                <w:sz w:val="24"/>
                <w:szCs w:val="24"/>
              </w:rPr>
              <w:t>SDZHS.CX12-2020</w:t>
            </w:r>
            <w:r w:rsidR="003F4EA5" w:rsidRPr="003F4EA5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《环境保护管理办法》、《劳保、消防用品管理办法》、《节约能源资源管理办法》</w:t>
            </w:r>
            <w:r w:rsidR="00E86DA4">
              <w:rPr>
                <w:rFonts w:ascii="楷体" w:eastAsia="楷体" w:hAnsi="楷体" w:cs="楷体" w:hint="eastAsia"/>
                <w:sz w:val="24"/>
                <w:szCs w:val="24"/>
              </w:rPr>
              <w:t>、《职工安全守则》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B1BAC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3F4EA5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CB70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</w:t>
            </w:r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以及</w:t>
            </w:r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proofErr w:type="gramStart"/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危废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集中</w:t>
            </w:r>
            <w:proofErr w:type="gramEnd"/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交给办公室统一处理，具体见办公室审核记录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 w:rsidRPr="00A87AF4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EB1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CB70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2020.</w:t>
            </w:r>
            <w:r w:rsidR="0027583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F32FF6" w:rsidRPr="00F32FF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3F4EA5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  <w:bookmarkStart w:id="2" w:name="_GoBack"/>
            <w:bookmarkEnd w:id="2"/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87AF4" w:rsidRPr="00A87AF4">
        <w:trPr>
          <w:trHeight w:val="392"/>
        </w:trPr>
        <w:tc>
          <w:tcPr>
            <w:tcW w:w="1809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87AF4" w:rsidRDefault="00A87AF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87AF4" w:rsidRDefault="00A87AF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87AF4" w:rsidRDefault="00A87AF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6B" w:rsidRDefault="00D03A6B">
      <w:r>
        <w:separator/>
      </w:r>
    </w:p>
  </w:endnote>
  <w:endnote w:type="continuationSeparator" w:id="0">
    <w:p w:rsidR="00D03A6B" w:rsidRDefault="00D0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EB1BAC" w:rsidRDefault="00EB1BA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EA5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EA5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1BAC" w:rsidRDefault="00EB1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6B" w:rsidRDefault="00D03A6B">
      <w:r>
        <w:separator/>
      </w:r>
    </w:p>
  </w:footnote>
  <w:footnote w:type="continuationSeparator" w:id="0">
    <w:p w:rsidR="00D03A6B" w:rsidRDefault="00D03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AC" w:rsidRDefault="00EB1BA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1BAC" w:rsidRDefault="00EB1BAC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B1BAC" w:rsidRDefault="00EB1BAC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EB1BAC" w:rsidRDefault="00EB1B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1ECE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8DF"/>
    <w:rsid w:val="001D6ED8"/>
    <w:rsid w:val="001E1974"/>
    <w:rsid w:val="001F1925"/>
    <w:rsid w:val="001F20F7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67B4"/>
    <w:rsid w:val="00237445"/>
    <w:rsid w:val="00245F44"/>
    <w:rsid w:val="00246E31"/>
    <w:rsid w:val="00247827"/>
    <w:rsid w:val="002521CE"/>
    <w:rsid w:val="0025458B"/>
    <w:rsid w:val="00262470"/>
    <w:rsid w:val="002650FD"/>
    <w:rsid w:val="002651A6"/>
    <w:rsid w:val="00275831"/>
    <w:rsid w:val="002766C0"/>
    <w:rsid w:val="0028420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5A43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3F493E"/>
    <w:rsid w:val="003F4EA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D7CD4"/>
    <w:rsid w:val="005E1045"/>
    <w:rsid w:val="005E3444"/>
    <w:rsid w:val="005E4192"/>
    <w:rsid w:val="005F60FE"/>
    <w:rsid w:val="005F6C65"/>
    <w:rsid w:val="00600F02"/>
    <w:rsid w:val="0060444D"/>
    <w:rsid w:val="0060593E"/>
    <w:rsid w:val="006257A2"/>
    <w:rsid w:val="00631B16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7BFA"/>
    <w:rsid w:val="006E32FE"/>
    <w:rsid w:val="006E678B"/>
    <w:rsid w:val="006F0B19"/>
    <w:rsid w:val="0070367F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0A96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7F40"/>
    <w:rsid w:val="00AB29E1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289C"/>
    <w:rsid w:val="00B22D22"/>
    <w:rsid w:val="00B23030"/>
    <w:rsid w:val="00B237B9"/>
    <w:rsid w:val="00B23CAA"/>
    <w:rsid w:val="00B330A1"/>
    <w:rsid w:val="00B410EE"/>
    <w:rsid w:val="00B6271A"/>
    <w:rsid w:val="00B64026"/>
    <w:rsid w:val="00B7249A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3723"/>
    <w:rsid w:val="00CB4DF1"/>
    <w:rsid w:val="00CB5244"/>
    <w:rsid w:val="00CB7075"/>
    <w:rsid w:val="00CC4B99"/>
    <w:rsid w:val="00CC6562"/>
    <w:rsid w:val="00CD4A44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2FBF"/>
    <w:rsid w:val="00D03A6B"/>
    <w:rsid w:val="00D06F59"/>
    <w:rsid w:val="00D0765F"/>
    <w:rsid w:val="00D124F4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7424"/>
    <w:rsid w:val="00EA4B84"/>
    <w:rsid w:val="00EA55F7"/>
    <w:rsid w:val="00EB0164"/>
    <w:rsid w:val="00EB1BAC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2FF6"/>
    <w:rsid w:val="00F33729"/>
    <w:rsid w:val="00F35A59"/>
    <w:rsid w:val="00F35CD7"/>
    <w:rsid w:val="00F3666E"/>
    <w:rsid w:val="00F46F73"/>
    <w:rsid w:val="00F50EC4"/>
    <w:rsid w:val="00F5281E"/>
    <w:rsid w:val="00F606E1"/>
    <w:rsid w:val="00F6739D"/>
    <w:rsid w:val="00F71A79"/>
    <w:rsid w:val="00F73F7A"/>
    <w:rsid w:val="00F753AE"/>
    <w:rsid w:val="00F83639"/>
    <w:rsid w:val="00F840C3"/>
    <w:rsid w:val="00F856F5"/>
    <w:rsid w:val="00F92C76"/>
    <w:rsid w:val="00F956F5"/>
    <w:rsid w:val="00FA0833"/>
    <w:rsid w:val="00FA350D"/>
    <w:rsid w:val="00FA6AB4"/>
    <w:rsid w:val="00FA7B6B"/>
    <w:rsid w:val="00FB03C3"/>
    <w:rsid w:val="00FB4FEC"/>
    <w:rsid w:val="00FB5281"/>
    <w:rsid w:val="00FB5A65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558</cp:revision>
  <dcterms:created xsi:type="dcterms:W3CDTF">2015-06-17T12:51:00Z</dcterms:created>
  <dcterms:modified xsi:type="dcterms:W3CDTF">2021-03-29T00:23:00Z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