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u w:val="none"/>
        </w:rPr>
      </w:pPr>
      <w:r>
        <w:rPr>
          <w:rFonts w:hint="eastAsia" w:ascii="宋体" w:hAnsi="宋体"/>
          <w:b/>
          <w:bCs/>
          <w:kern w:val="0"/>
          <w:sz w:val="24"/>
          <w:szCs w:val="24"/>
          <w:u w:val="none"/>
          <w:lang w:val="en-US" w:eastAsia="zh-CN"/>
        </w:rPr>
        <w:t>编号：</w:t>
      </w:r>
      <w:r>
        <w:rPr>
          <w:rFonts w:hint="eastAsia" w:ascii="宋体" w:hAnsi="宋体"/>
          <w:b/>
          <w:bCs/>
          <w:kern w:val="0"/>
          <w:sz w:val="24"/>
          <w:szCs w:val="24"/>
          <w:u w:val="none"/>
        </w:rPr>
        <w:t xml:space="preserve"> </w:t>
      </w:r>
      <w:bookmarkStart w:id="0" w:name="合同编号"/>
      <w:r>
        <w:rPr>
          <w:b/>
          <w:bCs/>
          <w:sz w:val="24"/>
          <w:szCs w:val="24"/>
          <w:u w:val="none"/>
        </w:rPr>
        <w:t>0137-2021-EO</w:t>
      </w:r>
      <w:bookmarkEnd w:id="0"/>
      <w:r>
        <w:rPr>
          <w:rFonts w:hint="eastAsia" w:ascii="宋体" w:hAnsi="宋体"/>
          <w:b/>
          <w:bCs/>
          <w:kern w:val="0"/>
          <w:sz w:val="24"/>
          <w:szCs w:val="24"/>
          <w:u w:val="none"/>
        </w:rPr>
        <w:t xml:space="preserve"> </w:t>
      </w: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四川明鑫电器电瓷有限公司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24001-2016/ISO14001:2015,O：GB/T45001-2020 / ISO45001：2018</w:t>
      </w:r>
      <w:bookmarkEnd w:id="5"/>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四川明鑫电器电瓷有限公司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45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大竹县东柳乡东柳村二组</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635107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四川省大竹县工业园区成功大道二段五号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635107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陈思恩</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0818-6922918</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谢欣</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6" w:name="最高管理者"/>
            <w:bookmarkEnd w:id="16"/>
            <w:r>
              <w:rPr>
                <w:rFonts w:hint="eastAsia" w:ascii="宋体" w:hAnsi="宋体"/>
                <w:b/>
                <w:color w:val="000000" w:themeColor="text1"/>
                <w:spacing w:val="-20"/>
                <w:sz w:val="20"/>
                <w:szCs w:val="20"/>
                <w:lang w:val="en-US" w:eastAsia="zh-CN"/>
              </w:rPr>
              <w:t>谢添</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陈思恩</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E：高低压绝缘子、电力金具铁附件的销售所涉及场所的相关环境管理活动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O：高低压绝缘子、电力金具铁附件的销售所涉及场所的相关职业健康安全管理活动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2020-07-10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不合格品控制；纠正和预防措施控制；策划管理；产品验收管理；服务过程管理；合同管理；采购管理；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01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03</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预防为主，遵规守法，确保环保安全；以人为本，持续改进，实现平安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pPr>
              <w:ind w:firstLine="525" w:firstLineChars="250"/>
              <w:rPr>
                <w:color w:val="000000"/>
                <w:szCs w:val="21"/>
              </w:rPr>
            </w:pPr>
            <w:r>
              <w:rPr>
                <w:rFonts w:hint="eastAsia"/>
                <w:color w:val="000000"/>
                <w:szCs w:val="21"/>
              </w:rPr>
              <w:t>环境、职业健康安全目标：</w:t>
            </w:r>
          </w:p>
          <w:p>
            <w:pPr>
              <w:numPr>
                <w:ilvl w:val="0"/>
                <w:numId w:val="3"/>
              </w:numPr>
              <w:tabs>
                <w:tab w:val="left" w:pos="900"/>
              </w:tabs>
              <w:spacing w:line="360" w:lineRule="auto"/>
              <w:rPr>
                <w:rFonts w:ascii="宋体" w:hAnsi="宋体"/>
                <w:color w:val="000000"/>
                <w:szCs w:val="21"/>
              </w:rPr>
            </w:pPr>
            <w:r>
              <w:rPr>
                <w:rFonts w:hint="eastAsia" w:ascii="宋体" w:hAnsi="宋体"/>
                <w:color w:val="000000"/>
                <w:szCs w:val="21"/>
              </w:rPr>
              <w:t>火灾发生率为0；</w:t>
            </w:r>
          </w:p>
          <w:p>
            <w:pPr>
              <w:numPr>
                <w:ilvl w:val="0"/>
                <w:numId w:val="3"/>
              </w:numPr>
              <w:tabs>
                <w:tab w:val="left" w:pos="900"/>
              </w:tabs>
              <w:spacing w:line="360" w:lineRule="auto"/>
              <w:rPr>
                <w:rFonts w:ascii="宋体" w:hAnsi="宋体"/>
                <w:color w:val="000000"/>
                <w:szCs w:val="21"/>
              </w:rPr>
            </w:pPr>
            <w:r>
              <w:rPr>
                <w:rFonts w:hint="eastAsia" w:ascii="宋体" w:hAnsi="宋体"/>
                <w:color w:val="000000"/>
                <w:szCs w:val="21"/>
              </w:rPr>
              <w:t>员工意外伤害为0；</w:t>
            </w:r>
          </w:p>
          <w:p>
            <w:pPr>
              <w:numPr>
                <w:ilvl w:val="0"/>
                <w:numId w:val="3"/>
              </w:numPr>
              <w:tabs>
                <w:tab w:val="left" w:pos="900"/>
              </w:tabs>
              <w:spacing w:line="360" w:lineRule="auto"/>
              <w:rPr>
                <w:rFonts w:ascii="宋体" w:hAnsi="宋体"/>
                <w:b/>
                <w:color w:val="000000" w:themeColor="text1"/>
              </w:rPr>
            </w:pPr>
            <w:r>
              <w:rPr>
                <w:rFonts w:hint="eastAsia" w:ascii="宋体" w:hAnsi="宋体"/>
                <w:color w:val="000000"/>
                <w:szCs w:val="21"/>
              </w:rPr>
              <w:t>固废处置合规率100%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2020</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高低压绝缘子、电力金具铁附件的销售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szCs w:val="21"/>
              </w:rPr>
              <w:t>办公场所</w:t>
            </w:r>
            <w:r>
              <w:rPr>
                <w:rFonts w:hint="eastAsia" w:ascii="宋体" w:hAnsi="宋体" w:cs="宋体"/>
                <w:szCs w:val="21"/>
              </w:rPr>
              <w:t>面积</w:t>
            </w:r>
            <w:r>
              <w:rPr>
                <w:rFonts w:hint="eastAsia" w:ascii="宋体" w:hAnsi="宋体" w:cs="宋体"/>
                <w:szCs w:val="21"/>
                <w:lang w:val="en-US" w:eastAsia="zh-CN"/>
              </w:rPr>
              <w:t>100</w:t>
            </w:r>
            <w:r>
              <w:rPr>
                <w:rFonts w:hint="eastAsia" w:ascii="宋体" w:hAnsi="宋体" w:cs="宋体"/>
                <w:szCs w:val="21"/>
              </w:rPr>
              <w:t>平方左右</w:t>
            </w:r>
            <w:r>
              <w:rPr>
                <w:rFonts w:hint="eastAsia" w:ascii="宋体" w:hAnsi="宋体" w:cs="宋体"/>
                <w:szCs w:val="21"/>
                <w:lang w:eastAsia="zh-CN"/>
              </w:rPr>
              <w:t>，</w:t>
            </w:r>
            <w:r>
              <w:rPr>
                <w:rFonts w:hint="eastAsia" w:ascii="宋体" w:hAnsi="宋体" w:cs="宋体"/>
                <w:szCs w:val="21"/>
                <w:lang w:val="en-US" w:eastAsia="zh-CN"/>
              </w:rPr>
              <w:t>库房面积5000平方左右</w:t>
            </w:r>
            <w:r>
              <w:rPr>
                <w:rFonts w:hint="eastAsia" w:ascii="宋体" w:hAnsi="宋体" w:cs="宋体"/>
                <w:szCs w:val="21"/>
              </w:rPr>
              <w:t>。</w:t>
            </w:r>
            <w:r>
              <w:rPr>
                <w:rFonts w:hint="eastAsia" w:ascii="宋体" w:hAnsi="宋体" w:cs="宋体"/>
                <w:szCs w:val="21"/>
              </w:rPr>
              <w:t>主要设备包括电脑、打印机</w:t>
            </w:r>
            <w:r>
              <w:rPr>
                <w:rFonts w:hint="eastAsia" w:ascii="宋体" w:hAnsi="宋体" w:cs="宋体"/>
                <w:szCs w:val="21"/>
              </w:rPr>
              <w:t>等办公设备设备，可以满足</w:t>
            </w:r>
            <w:r>
              <w:rPr>
                <w:rFonts w:hint="eastAsia" w:ascii="宋体" w:hAnsi="宋体" w:cs="宋体"/>
                <w:szCs w:val="21"/>
                <w:lang w:eastAsia="zh-CN"/>
              </w:rPr>
              <w:t>高低压绝缘子、电力金具铁附件的销售</w:t>
            </w:r>
            <w:r>
              <w:rPr>
                <w:rFonts w:hint="eastAsia" w:ascii="宋体" w:hAnsi="宋体" w:cs="宋体"/>
                <w:szCs w:val="21"/>
              </w:rPr>
              <w:t>的需要</w:t>
            </w:r>
            <w:r>
              <w:rPr>
                <w:rFonts w:hint="eastAsia" w:ascii="宋体" w:hAnsi="宋体" w:cs="宋体"/>
                <w:szCs w:val="21"/>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办公、生产服务场所和内设备布置合理，通道畅通，照明设施齐全，均配备了消防设施等设施。办公室明亮，培训场所光线较充足。每月由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监视和测量资源</w:t>
            </w:r>
          </w:p>
          <w:p>
            <w:pPr>
              <w:pStyle w:val="3"/>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组织建立了危险源识别、评价控制程序，识别评价了危险源、风险相关的过程，评价出了重要危险源（火灾、意外伤害等），与之相关的过程有销售过程，针对不可接受风险制定了管理方案。控制措施实施有效。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w:t>
            </w:r>
            <w:r>
              <w:rPr>
                <w:rFonts w:hint="eastAsia" w:ascii="宋体" w:hAnsi="宋体" w:cs="宋体"/>
                <w:color w:val="000000"/>
                <w:szCs w:val="21"/>
                <w:highlight w:val="none"/>
              </w:rPr>
              <w:t>标值。通</w:t>
            </w:r>
            <w:r>
              <w:rPr>
                <w:rFonts w:hint="eastAsia" w:ascii="宋体" w:hAnsi="宋体" w:cs="宋体"/>
                <w:szCs w:val="21"/>
                <w:highlight w:val="none"/>
              </w:rPr>
              <w:t>过2020年</w:t>
            </w:r>
            <w:r>
              <w:rPr>
                <w:rFonts w:hint="eastAsia" w:ascii="宋体" w:hAnsi="宋体" w:cs="宋体"/>
                <w:szCs w:val="21"/>
                <w:highlight w:val="none"/>
                <w:lang w:val="en-US" w:eastAsia="zh-CN"/>
              </w:rPr>
              <w:t>12月</w:t>
            </w:r>
            <w:r>
              <w:rPr>
                <w:rFonts w:hint="eastAsia" w:ascii="宋体" w:hAnsi="宋体" w:cs="宋体"/>
                <w:szCs w:val="21"/>
                <w:highlight w:val="none"/>
              </w:rPr>
              <w:t>-</w:t>
            </w:r>
            <w:r>
              <w:rPr>
                <w:rFonts w:hint="eastAsia" w:ascii="宋体" w:hAnsi="宋体" w:cs="宋体"/>
                <w:szCs w:val="21"/>
                <w:highlight w:val="none"/>
                <w:lang w:val="en-US" w:eastAsia="zh-CN"/>
              </w:rPr>
              <w:t>2021年2</w:t>
            </w:r>
            <w:r>
              <w:rPr>
                <w:rFonts w:hint="eastAsia" w:ascii="宋体" w:hAnsi="宋体" w:cs="宋体"/>
                <w:szCs w:val="21"/>
                <w:highlight w:val="none"/>
              </w:rPr>
              <w:t>月目</w:t>
            </w:r>
            <w:r>
              <w:rPr>
                <w:rFonts w:hint="eastAsia" w:ascii="宋体" w:hAnsi="宋体" w:cs="宋体"/>
                <w:color w:val="000000"/>
                <w:szCs w:val="21"/>
                <w:highlight w:val="none"/>
              </w:rPr>
              <w:t>标</w:t>
            </w:r>
            <w:r>
              <w:rPr>
                <w:rFonts w:hint="eastAsia" w:ascii="宋体" w:hAnsi="宋体" w:cs="宋体"/>
                <w:color w:val="000000"/>
                <w:szCs w:val="21"/>
              </w:rPr>
              <w:t>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szCs w:val="21"/>
              </w:rPr>
              <w:t>建立有《内部审核控制程序》，规定了内审频次一年一次，内审时间：</w:t>
            </w:r>
            <w:r>
              <w:rPr>
                <w:rFonts w:hint="eastAsia" w:ascii="宋体" w:hAnsi="宋体" w:cs="Times New Roman"/>
                <w:szCs w:val="21"/>
                <w:lang w:eastAsia="zh-CN"/>
              </w:rPr>
              <w:t>202</w:t>
            </w:r>
            <w:r>
              <w:rPr>
                <w:rFonts w:hint="eastAsia" w:ascii="宋体" w:hAnsi="宋体" w:cs="Times New Roman"/>
                <w:szCs w:val="21"/>
                <w:lang w:val="en-US" w:eastAsia="zh-CN"/>
              </w:rPr>
              <w:t>1</w:t>
            </w:r>
            <w:r>
              <w:rPr>
                <w:rFonts w:hint="eastAsia" w:ascii="宋体" w:hAnsi="宋体" w:cs="Times New Roman"/>
                <w:szCs w:val="21"/>
                <w:lang w:eastAsia="zh-CN"/>
              </w:rPr>
              <w:t>年</w:t>
            </w:r>
            <w:r>
              <w:rPr>
                <w:rFonts w:hint="eastAsia" w:ascii="宋体" w:hAnsi="宋体" w:cs="Times New Roman"/>
                <w:szCs w:val="21"/>
                <w:lang w:val="en-US" w:eastAsia="zh-CN"/>
              </w:rPr>
              <w:t>2</w:t>
            </w:r>
            <w:r>
              <w:rPr>
                <w:rFonts w:hint="eastAsia" w:ascii="宋体" w:hAnsi="宋体" w:cs="Times New Roman"/>
                <w:szCs w:val="21"/>
                <w:lang w:eastAsia="zh-CN"/>
              </w:rPr>
              <w:t>月</w:t>
            </w:r>
            <w:r>
              <w:rPr>
                <w:rFonts w:hint="eastAsia" w:ascii="宋体" w:hAnsi="宋体" w:cs="Times New Roman"/>
                <w:szCs w:val="21"/>
                <w:lang w:val="en-US" w:eastAsia="zh-CN"/>
              </w:rPr>
              <w:t>5</w:t>
            </w:r>
            <w:r>
              <w:rPr>
                <w:rFonts w:hint="eastAsia" w:ascii="宋体" w:hAnsi="宋体" w:cs="Times New Roman"/>
                <w:szCs w:val="21"/>
                <w:lang w:eastAsia="zh-CN"/>
              </w:rPr>
              <w:t>日</w:t>
            </w:r>
            <w:r>
              <w:rPr>
                <w:rFonts w:hint="eastAsia" w:ascii="宋体" w:hAnsi="宋体"/>
                <w:szCs w:val="21"/>
              </w:rPr>
              <w:t>，拟定了审核实施表，明确了内审范围，内审人员经培训合格上岗，能力满足要求，未出现审核本部门情况，内审不符合项1项，涉及行政部ES7.2条款</w:t>
            </w:r>
            <w:r>
              <w:rPr>
                <w:rFonts w:hint="eastAsia" w:ascii="宋体" w:hAnsi="宋体" w:cs="宋体"/>
                <w:szCs w:val="21"/>
              </w:rPr>
              <w:t>在审核行政部时，未见对新员工的培训记录</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年0</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w:t>
            </w:r>
            <w:r>
              <w:rPr>
                <w:rFonts w:hint="eastAsia" w:ascii="宋体" w:hAnsi="宋体"/>
                <w:szCs w:val="21"/>
              </w:rPr>
              <w:t>4日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w:t>
      </w:r>
      <w:r>
        <w:rPr>
          <w:rFonts w:hint="eastAsia"/>
          <w:b/>
          <w:color w:val="000000" w:themeColor="text1"/>
          <w:highlight w:val="none"/>
          <w:lang w:eastAsia="zh-CN"/>
        </w:rPr>
        <w:t>。</w:t>
      </w:r>
      <w:r>
        <w:rPr>
          <w:rFonts w:hint="eastAsia"/>
          <w:b/>
          <w:color w:val="000000" w:themeColor="text1"/>
          <w:highlight w:val="none"/>
          <w:lang w:val="en-US" w:eastAsia="zh-CN"/>
        </w:rPr>
        <w:t>不符合项</w:t>
      </w:r>
      <w:r>
        <w:rPr>
          <w:rFonts w:hint="eastAsia"/>
          <w:b/>
          <w:color w:val="000000" w:themeColor="text1"/>
          <w:highlight w:val="none"/>
        </w:rPr>
        <w:t>分布在</w:t>
      </w:r>
      <w:r>
        <w:rPr>
          <w:rFonts w:hint="eastAsia"/>
          <w:b/>
          <w:color w:val="000000" w:themeColor="text1"/>
          <w:highlight w:val="none"/>
          <w:lang w:val="en-US" w:eastAsia="zh-CN"/>
        </w:rPr>
        <w:t>供销部</w:t>
      </w:r>
      <w:r>
        <w:rPr>
          <w:rFonts w:hint="eastAsia"/>
          <w:b/>
          <w:color w:val="000000" w:themeColor="text1"/>
          <w:highlight w:val="none"/>
        </w:rPr>
        <w:t>部门</w:t>
      </w:r>
      <w:r>
        <w:rPr>
          <w:rFonts w:hint="eastAsia"/>
          <w:b/>
          <w:color w:val="000000" w:themeColor="text1"/>
          <w:highlight w:val="none"/>
          <w:lang w:val="en-US" w:eastAsia="zh-CN"/>
        </w:rPr>
        <w:t>6.1.2 a</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rPr>
              <w:t>高低压绝缘子、电力金具铁附件的销售所涉及场所的相关环境管理活动</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rPr>
              <w:t>高低压绝缘子、电力金具铁附件的销售所涉及场所的相关职业健康安全管理活动。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723776" behindDoc="0" locked="0" layoutInCell="1" allowOverlap="1">
            <wp:simplePos x="0" y="0"/>
            <wp:positionH relativeFrom="column">
              <wp:posOffset>1865630</wp:posOffset>
            </wp:positionH>
            <wp:positionV relativeFrom="paragraph">
              <wp:posOffset>344805</wp:posOffset>
            </wp:positionV>
            <wp:extent cx="681355" cy="424180"/>
            <wp:effectExtent l="0" t="0" r="4445" b="2540"/>
            <wp:wrapNone/>
            <wp:docPr id="3"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sz w:val="24"/>
        </w:rPr>
        <w:drawing>
          <wp:anchor distT="0" distB="0" distL="114300" distR="114300" simplePos="0" relativeHeight="251783168" behindDoc="0" locked="0" layoutInCell="1" allowOverlap="1">
            <wp:simplePos x="0" y="0"/>
            <wp:positionH relativeFrom="column">
              <wp:posOffset>1816100</wp:posOffset>
            </wp:positionH>
            <wp:positionV relativeFrom="paragraph">
              <wp:posOffset>84455</wp:posOffset>
            </wp:positionV>
            <wp:extent cx="628015" cy="454025"/>
            <wp:effectExtent l="0" t="0" r="12065" b="3175"/>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7"/>
                    <a:stretch>
                      <a:fillRect/>
                    </a:stretch>
                  </pic:blipFill>
                  <pic:spPr>
                    <a:xfrm>
                      <a:off x="0" y="0"/>
                      <a:ext cx="628015" cy="45402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default"/>
          <w:b/>
          <w:color w:val="000000" w:themeColor="text1"/>
          <w:sz w:val="16"/>
          <w:szCs w:val="16"/>
          <w:lang w:val="en-US"/>
        </w:rPr>
      </w:pPr>
      <w:r>
        <w:rPr>
          <w:rFonts w:hint="eastAsia"/>
          <w:b/>
          <w:color w:val="000000" w:themeColor="text1"/>
        </w:rPr>
        <w:t>日期</w:t>
      </w:r>
      <w:r>
        <w:rPr>
          <w:rFonts w:hint="eastAsia"/>
          <w:b/>
          <w:color w:val="000000" w:themeColor="text1"/>
          <w:lang w:val="en-US" w:eastAsia="zh-CN"/>
        </w:rPr>
        <w:t xml:space="preserve"> ：2021年03月22日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bookmarkStart w:id="23" w:name="_GoBack"/>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color w:val="000000" w:themeColor="text1"/>
          <w:szCs w:val="21"/>
          <w:highlight w:val="none"/>
        </w:rPr>
        <w:t>QMS(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EMS(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bookmarkEnd w:id="23"/>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ascii="宋体" w:hAnsi="宋体"/>
        </w:rPr>
        <w:drawing>
          <wp:anchor distT="0" distB="0" distL="114300" distR="114300" simplePos="0" relativeHeight="251849728" behindDoc="0" locked="0" layoutInCell="1" allowOverlap="1">
            <wp:simplePos x="0" y="0"/>
            <wp:positionH relativeFrom="column">
              <wp:posOffset>943610</wp:posOffset>
            </wp:positionH>
            <wp:positionV relativeFrom="paragraph">
              <wp:posOffset>81280</wp:posOffset>
            </wp:positionV>
            <wp:extent cx="681355" cy="424180"/>
            <wp:effectExtent l="0" t="0" r="4445" b="2540"/>
            <wp:wrapNone/>
            <wp:docPr id="5"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 xml:space="preserve"> 3</w:t>
      </w:r>
      <w:r>
        <w:rPr>
          <w:rFonts w:hint="eastAsia"/>
          <w:b/>
          <w:color w:val="000000" w:themeColor="text1"/>
          <w:szCs w:val="21"/>
        </w:rPr>
        <w:t>月</w:t>
      </w:r>
      <w:r>
        <w:rPr>
          <w:rFonts w:hint="eastAsia"/>
          <w:b/>
          <w:color w:val="000000" w:themeColor="text1"/>
          <w:szCs w:val="21"/>
          <w:lang w:val="en-US" w:eastAsia="zh-CN"/>
        </w:rPr>
        <w:t xml:space="preserve"> 24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40CDE"/>
    <w:multiLevelType w:val="singleLevel"/>
    <w:tmpl w:val="B9A40CDE"/>
    <w:lvl w:ilvl="0" w:tentative="0">
      <w:start w:val="1"/>
      <w:numFmt w:val="decimal"/>
      <w:lvlText w:val="%1."/>
      <w:lvlJc w:val="left"/>
      <w:pPr>
        <w:ind w:left="425" w:hanging="425"/>
      </w:pPr>
      <w:rPr>
        <w:rFonts w:hint="default"/>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55151"/>
    <w:rsid w:val="224B59AB"/>
    <w:rsid w:val="3EB219A7"/>
    <w:rsid w:val="57930251"/>
    <w:rsid w:val="5C8230D3"/>
    <w:rsid w:val="62DD7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7</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2021-03-22T03:24:16Z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