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四川明鑫电器电瓷有限公司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 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Start w:id="5" w:name="_GoBack"/>
            <w:bookmarkEnd w:id="5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顾客洽谈</w:t>
            </w:r>
            <w:r>
              <w:rPr>
                <w:rFonts w:hint="eastAsia"/>
                <w:szCs w:val="21"/>
                <w:highlight w:val="none"/>
              </w:rPr>
              <w:t>→签订合同→产品销售</w:t>
            </w:r>
            <w:r>
              <w:rPr>
                <w:rFonts w:hint="eastAsia"/>
                <w:color w:val="auto"/>
                <w:szCs w:val="21"/>
                <w:highlight w:val="none"/>
              </w:rPr>
              <w:t>→客户验收→售</w:t>
            </w:r>
            <w:r>
              <w:rPr>
                <w:rFonts w:hint="eastAsia"/>
                <w:szCs w:val="21"/>
                <w:highlight w:val="none"/>
              </w:rPr>
              <w:t>后服务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需确认过程：销售过程，也是关键过程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销售服务过程采取销售服务规范控制，针对销售的产品不合格，交货不准时等风险，通过管理方案和预案进行控制。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highlight w:val="none"/>
              </w:rPr>
              <w:t>火灾，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意外</w:t>
            </w:r>
            <w:r>
              <w:rPr>
                <w:rFonts w:hint="eastAsia"/>
                <w:sz w:val="20"/>
                <w:highlight w:val="none"/>
                <w:lang w:eastAsia="zh-CN"/>
              </w:rPr>
              <w:t>伤害</w:t>
            </w:r>
            <w:r>
              <w:rPr>
                <w:rFonts w:hint="eastAsia"/>
                <w:sz w:val="20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中华人民共和国合同法、中华人民共和国产品质量法、中华人民共和国消费者权益法、中华人民共和国环境保护法、中华人民共和国环境影响评价法、中华人民共和国消防法等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140970</wp:posOffset>
            </wp:positionV>
            <wp:extent cx="574040" cy="358140"/>
            <wp:effectExtent l="0" t="0" r="5080" b="762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159385</wp:posOffset>
            </wp:positionV>
            <wp:extent cx="598170" cy="372745"/>
            <wp:effectExtent l="0" t="0" r="11430" b="825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0" w:lineRule="exact"/>
        <w:ind w:left="52"/>
        <w:jc w:val="center"/>
        <w:rPr>
          <w:rFonts w:hint="eastAsia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2021年3月21日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2021年3月21日</w:t>
      </w:r>
    </w:p>
    <w:p>
      <w:pPr>
        <w:snapToGrid w:val="0"/>
        <w:spacing w:line="280" w:lineRule="exact"/>
        <w:ind w:left="52"/>
        <w:jc w:val="center"/>
        <w:rPr>
          <w:rFonts w:hint="eastAsia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F5B07"/>
    <w:rsid w:val="26CF6B5F"/>
    <w:rsid w:val="69211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2021-03-22T01:53:56Z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