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0137-2021-EO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四川明鑫电器电瓷有限公司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eastAsia="宋体" w:cs="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95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四川明鑫电器电瓷有限公司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大竹县东柳乡东柳村二组</w:t>
            </w:r>
            <w:bookmarkEnd w:id="10"/>
          </w:p>
        </w:tc>
        <w:tc>
          <w:tcPr>
            <w:tcW w:w="950"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850" w:type="dxa"/>
          </w:tcPr>
          <w:p>
            <w:pPr>
              <w:spacing w:line="280" w:lineRule="exact"/>
              <w:rPr>
                <w:rFonts w:ascii="宋体"/>
                <w:b/>
                <w:color w:val="000000"/>
                <w:sz w:val="20"/>
                <w:szCs w:val="20"/>
              </w:rPr>
            </w:pPr>
            <w:bookmarkStart w:id="11" w:name="注册邮编"/>
            <w:r>
              <w:rPr>
                <w:rFonts w:ascii="宋体"/>
                <w:b/>
                <w:color w:val="000000"/>
                <w:sz w:val="20"/>
                <w:szCs w:val="20"/>
              </w:rPr>
              <w:t>635107</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950" w:type="dxa"/>
            <w:vMerge w:val="continue"/>
            <w:vAlign w:val="center"/>
          </w:tcPr>
          <w:p>
            <w:pPr>
              <w:spacing w:line="280" w:lineRule="exact"/>
              <w:jc w:val="center"/>
              <w:rPr>
                <w:rFonts w:ascii="宋体"/>
                <w:b/>
                <w:color w:val="000000"/>
                <w:sz w:val="20"/>
                <w:szCs w:val="20"/>
              </w:rPr>
            </w:pPr>
          </w:p>
        </w:tc>
        <w:tc>
          <w:tcPr>
            <w:tcW w:w="1850"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四川省大竹县工业园区成功大道二段五号</w:t>
            </w:r>
            <w:bookmarkEnd w:id="14"/>
          </w:p>
        </w:tc>
        <w:tc>
          <w:tcPr>
            <w:tcW w:w="950" w:type="dxa"/>
            <w:vMerge w:val="continue"/>
            <w:vAlign w:val="center"/>
          </w:tcPr>
          <w:p>
            <w:pPr>
              <w:spacing w:line="280" w:lineRule="exact"/>
              <w:jc w:val="center"/>
              <w:rPr>
                <w:rFonts w:ascii="宋体"/>
                <w:b/>
                <w:color w:val="000000"/>
                <w:sz w:val="20"/>
                <w:szCs w:val="20"/>
              </w:rPr>
            </w:pPr>
          </w:p>
        </w:tc>
        <w:tc>
          <w:tcPr>
            <w:tcW w:w="1850" w:type="dxa"/>
          </w:tcPr>
          <w:p>
            <w:pPr>
              <w:spacing w:line="280" w:lineRule="exact"/>
              <w:rPr>
                <w:rFonts w:ascii="宋体"/>
                <w:b/>
                <w:color w:val="000000"/>
                <w:sz w:val="20"/>
                <w:szCs w:val="20"/>
              </w:rPr>
            </w:pPr>
            <w:bookmarkStart w:id="15" w:name="生产邮编Add1"/>
            <w:r>
              <w:rPr>
                <w:rFonts w:ascii="宋体"/>
                <w:b/>
                <w:color w:val="000000"/>
                <w:sz w:val="20"/>
                <w:szCs w:val="20"/>
              </w:rPr>
              <w:t>635107</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陈思恩</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0818-6922918</w:t>
            </w:r>
            <w:bookmarkEnd w:id="17"/>
          </w:p>
        </w:tc>
        <w:tc>
          <w:tcPr>
            <w:tcW w:w="950"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850"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谢欣</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陈思恩</w:t>
            </w:r>
            <w:bookmarkEnd w:id="20"/>
          </w:p>
        </w:tc>
        <w:tc>
          <w:tcPr>
            <w:tcW w:w="950" w:type="dxa"/>
          </w:tcPr>
          <w:p>
            <w:pPr>
              <w:jc w:val="center"/>
              <w:rPr>
                <w:rFonts w:ascii="宋体"/>
                <w:b/>
                <w:color w:val="000000"/>
                <w:sz w:val="20"/>
                <w:szCs w:val="20"/>
              </w:rPr>
            </w:pPr>
            <w:r>
              <w:rPr>
                <w:rFonts w:hint="eastAsia" w:ascii="宋体"/>
                <w:b/>
                <w:color w:val="000000"/>
                <w:sz w:val="20"/>
                <w:szCs w:val="20"/>
              </w:rPr>
              <w:t>邮箱</w:t>
            </w:r>
          </w:p>
        </w:tc>
        <w:tc>
          <w:tcPr>
            <w:tcW w:w="1850" w:type="dxa"/>
          </w:tcPr>
          <w:p>
            <w:pPr>
              <w:rPr>
                <w:rFonts w:ascii="宋体"/>
                <w:b/>
                <w:color w:val="000000"/>
                <w:sz w:val="20"/>
                <w:szCs w:val="20"/>
              </w:rPr>
            </w:pPr>
            <w:bookmarkStart w:id="21" w:name="联系人邮箱Add1"/>
            <w:r>
              <w:rPr>
                <w:rFonts w:ascii="宋体"/>
                <w:b/>
                <w:color w:val="000000"/>
                <w:sz w:val="20"/>
                <w:szCs w:val="20"/>
              </w:rPr>
              <w:t>964635466@qq.com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E：高低压绝缘子、电力金具铁附件的销售所涉及场所的相关环境管理活动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O：高低压绝缘子、电力金具铁附件的销售所涉及场所的相关职业健康安全管理活动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E：29.12.00</w:t>
            </w:r>
          </w:p>
          <w:p>
            <w:pPr>
              <w:spacing w:line="280" w:lineRule="exact"/>
              <w:rPr>
                <w:rFonts w:ascii="宋体"/>
                <w:b/>
                <w:color w:val="000000"/>
                <w:sz w:val="20"/>
                <w:szCs w:val="20"/>
              </w:rPr>
            </w:pPr>
            <w:r>
              <w:rPr>
                <w:rFonts w:ascii="宋体"/>
                <w:b/>
                <w:color w:val="000000"/>
                <w:sz w:val="20"/>
                <w:szCs w:val="20"/>
              </w:rPr>
              <w:t>O：29.12.00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hint="default" w:ascii="宋体" w:eastAsia="宋体"/>
          <w:b/>
          <w:color w:val="000000"/>
          <w:sz w:val="20"/>
          <w:szCs w:val="20"/>
          <w:lang w:val="en-US" w:eastAsia="zh-CN"/>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lang w:eastAsia="zh-CN"/>
        </w:rPr>
        <w:t>行政</w:t>
      </w:r>
      <w:r>
        <w:rPr>
          <w:rFonts w:hint="eastAsia" w:ascii="宋体" w:hAnsi="宋体"/>
          <w:szCs w:val="21"/>
        </w:rPr>
        <w:t>部、</w:t>
      </w:r>
      <w:r>
        <w:rPr>
          <w:rFonts w:hint="eastAsia" w:ascii="宋体" w:hAnsi="宋体"/>
          <w:szCs w:val="21"/>
          <w:lang w:eastAsia="zh-CN"/>
        </w:rPr>
        <w:t>供销部</w:t>
      </w:r>
      <w:r>
        <w:rPr>
          <w:rFonts w:hint="eastAsia" w:ascii="宋体" w:hAnsi="宋体"/>
          <w:szCs w:val="21"/>
        </w:rPr>
        <w:t>、</w:t>
      </w:r>
      <w:r>
        <w:rPr>
          <w:rFonts w:hint="eastAsia" w:ascii="宋体" w:hAnsi="宋体"/>
          <w:szCs w:val="21"/>
          <w:lang w:val="en-US" w:eastAsia="zh-CN"/>
        </w:rPr>
        <w:t>技术部、财务部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场所：办公</w:t>
      </w:r>
      <w:r>
        <w:rPr>
          <w:rFonts w:hint="eastAsia" w:ascii="宋体" w:hAnsi="宋体"/>
          <w:b/>
          <w:color w:val="000000"/>
          <w:sz w:val="20"/>
          <w:szCs w:val="20"/>
          <w:lang w:val="en-US" w:eastAsia="zh-CN"/>
        </w:rPr>
        <w:t>及经营</w:t>
      </w: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hint="eastAsia" w:ascii="宋体" w:eastAsia="宋体"/>
                <w:b/>
                <w:color w:val="000000"/>
                <w:sz w:val="20"/>
                <w:szCs w:val="20"/>
                <w:lang w:eastAsia="zh-CN"/>
              </w:rPr>
            </w:pPr>
            <w:r>
              <w:rPr>
                <w:rFonts w:hint="eastAsia" w:ascii="宋体" w:hAnsi="宋体"/>
                <w:b/>
                <w:color w:val="000000"/>
                <w:sz w:val="20"/>
                <w:szCs w:val="20"/>
              </w:rPr>
              <w:t>服务：</w:t>
            </w:r>
            <w:r>
              <w:rPr>
                <w:rFonts w:hint="eastAsia" w:ascii="宋体" w:hAnsi="宋体"/>
                <w:szCs w:val="21"/>
                <w:lang w:eastAsia="zh-CN"/>
              </w:rPr>
              <w:t>高低压绝缘子、电力金具铁附件的销售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rPr>
              <w:t>行政部、供销部、</w:t>
            </w:r>
            <w:r>
              <w:rPr>
                <w:rFonts w:hint="eastAsia" w:ascii="宋体" w:hAnsi="宋体"/>
                <w:szCs w:val="21"/>
                <w:lang w:val="en-US" w:eastAsia="zh-CN"/>
              </w:rPr>
              <w:t>技术部、</w:t>
            </w:r>
            <w:r>
              <w:rPr>
                <w:rFonts w:hint="eastAsia" w:ascii="宋体" w:hAnsi="宋体"/>
                <w:szCs w:val="21"/>
              </w:rPr>
              <w:t>财务部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szCs w:val="21"/>
              </w:rPr>
              <w:t>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szCs w:val="21"/>
              </w:rPr>
              <w:t>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szCs w:val="21"/>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四川省大竹县工业园区成功大道二段五号</w:t>
            </w:r>
          </w:p>
          <w:p>
            <w:pPr>
              <w:tabs>
                <w:tab w:val="left" w:pos="360"/>
              </w:tabs>
              <w:ind w:left="357" w:hanging="357"/>
              <w:rPr>
                <w:rFonts w:ascii="宋体"/>
                <w:sz w:val="20"/>
                <w:szCs w:val="20"/>
              </w:rPr>
            </w:pPr>
            <w:r>
              <w:rPr>
                <w:rFonts w:hint="eastAsia" w:ascii="宋体" w:hAnsi="宋体"/>
                <w:sz w:val="20"/>
                <w:szCs w:val="20"/>
              </w:rPr>
              <w:t>其使用的建筑设施是：</w:t>
            </w:r>
            <w:r>
              <w:rPr>
                <w:rFonts w:hint="eastAsia" w:ascii="宋体" w:hAnsi="宋体"/>
                <w:spacing w:val="-10"/>
                <w:sz w:val="20"/>
                <w:szCs w:val="20"/>
              </w:rPr>
              <w:t>□</w:t>
            </w:r>
            <w:r>
              <w:rPr>
                <w:rFonts w:hint="eastAsia" w:ascii="宋体" w:hAnsi="宋体"/>
                <w:sz w:val="20"/>
                <w:szCs w:val="20"/>
              </w:rPr>
              <w:t>自建办公用房</w:t>
            </w:r>
            <w:r>
              <w:rPr>
                <w:rFonts w:hint="eastAsia" w:ascii="宋体" w:hAnsi="宋体"/>
                <w:spacing w:val="-10"/>
                <w:sz w:val="20"/>
                <w:szCs w:val="20"/>
              </w:rPr>
              <w:t>□</w:t>
            </w:r>
            <w:r>
              <w:rPr>
                <w:rFonts w:hint="eastAsia" w:ascii="宋体" w:hAnsi="宋体"/>
                <w:sz w:val="20"/>
                <w:szCs w:val="20"/>
              </w:rPr>
              <w:t>自建厂房</w:t>
            </w:r>
            <w:r>
              <w:rPr>
                <w:rFonts w:hint="eastAsia" w:ascii="宋体" w:hAnsi="宋体"/>
                <w:spacing w:val="-10"/>
                <w:sz w:val="20"/>
                <w:szCs w:val="20"/>
              </w:rPr>
              <w:t>□租用办公用房</w:t>
            </w:r>
            <w:r>
              <w:rPr>
                <w:rFonts w:hint="eastAsia" w:ascii="宋体" w:hAnsi="宋体"/>
                <w:sz w:val="20"/>
                <w:szCs w:val="20"/>
              </w:rPr>
              <w:t>■</w:t>
            </w:r>
            <w:r>
              <w:rPr>
                <w:rFonts w:hint="eastAsia" w:ascii="宋体" w:hAnsi="宋体"/>
                <w:spacing w:val="-10"/>
                <w:sz w:val="20"/>
                <w:szCs w:val="20"/>
              </w:rPr>
              <w:t>租用厂房</w:t>
            </w:r>
          </w:p>
          <w:p>
            <w:pPr>
              <w:tabs>
                <w:tab w:val="left" w:pos="360"/>
              </w:tabs>
              <w:ind w:left="357" w:hanging="357"/>
              <w:rPr>
                <w:rFonts w:ascii="宋体"/>
                <w:color w:val="000000" w:themeColor="text1"/>
                <w:sz w:val="20"/>
                <w:szCs w:val="20"/>
              </w:rPr>
            </w:pPr>
            <w:r>
              <w:rPr>
                <w:rFonts w:hint="eastAsia" w:ascii="宋体" w:hAnsi="宋体"/>
                <w:color w:val="000000" w:themeColor="text1"/>
                <w:sz w:val="20"/>
                <w:szCs w:val="20"/>
              </w:rPr>
              <w:t>受审核方现场是否属于高风险地区</w:t>
            </w:r>
            <w:r>
              <w:rPr>
                <w:rFonts w:hint="eastAsia" w:ascii="宋体" w:hAnsi="宋体"/>
                <w:color w:val="000000" w:themeColor="text1"/>
                <w:spacing w:val="-10"/>
                <w:sz w:val="20"/>
                <w:szCs w:val="20"/>
              </w:rPr>
              <w:t>□</w:t>
            </w:r>
            <w:r>
              <w:rPr>
                <w:rFonts w:hint="eastAsia" w:ascii="宋体" w:hAnsi="宋体"/>
                <w:color w:val="000000" w:themeColor="text1"/>
                <w:sz w:val="20"/>
                <w:szCs w:val="20"/>
              </w:rPr>
              <w:t>是■否</w:t>
            </w:r>
          </w:p>
          <w:p>
            <w:pPr>
              <w:tabs>
                <w:tab w:val="left" w:pos="360"/>
              </w:tabs>
              <w:ind w:left="357" w:hanging="357"/>
              <w:rPr>
                <w:rFonts w:ascii="宋体"/>
                <w:b/>
                <w:color w:val="000000" w:themeColor="text1"/>
                <w:sz w:val="20"/>
                <w:szCs w:val="20"/>
              </w:rPr>
            </w:pPr>
            <w:r>
              <w:rPr>
                <w:rFonts w:hint="eastAsia" w:ascii="宋体" w:hAnsi="宋体"/>
                <w:color w:val="000000" w:themeColor="text1"/>
                <w:sz w:val="20"/>
                <w:szCs w:val="20"/>
              </w:rPr>
              <w:t>受审核方现场周边是否具有危险性场所，如化工厂、加油站等</w:t>
            </w:r>
            <w:r>
              <w:rPr>
                <w:rFonts w:hint="eastAsia" w:ascii="宋体" w:hAnsi="宋体"/>
                <w:color w:val="000000" w:themeColor="text1"/>
                <w:spacing w:val="-10"/>
                <w:sz w:val="20"/>
                <w:szCs w:val="20"/>
              </w:rPr>
              <w:t>□</w:t>
            </w:r>
            <w:r>
              <w:rPr>
                <w:rFonts w:hint="eastAsia" w:ascii="宋体" w:hAnsi="宋体"/>
                <w:color w:val="000000" w:themeColor="text1"/>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ind w:left="521" w:leftChars="248"/>
        <w:rPr>
          <w:rFonts w:ascii="宋体"/>
          <w:b/>
          <w:color w:val="000000"/>
          <w:spacing w:val="-6"/>
          <w:sz w:val="22"/>
          <w:szCs w:val="22"/>
        </w:rPr>
      </w:pPr>
    </w:p>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sz w:val="20"/>
                <w:szCs w:val="20"/>
              </w:rPr>
            </w:pPr>
            <w:r>
              <w:rPr>
                <w:rFonts w:hint="eastAsia"/>
                <w:szCs w:val="21"/>
                <w:highlight w:val="none"/>
                <w:lang w:eastAsia="zh-CN"/>
              </w:rPr>
              <w:t>顾客洽谈</w:t>
            </w:r>
            <w:r>
              <w:rPr>
                <w:rFonts w:hint="eastAsia"/>
                <w:szCs w:val="21"/>
                <w:highlight w:val="none"/>
              </w:rPr>
              <w:t>→签订合同→产品销售</w:t>
            </w:r>
            <w:r>
              <w:rPr>
                <w:rFonts w:hint="eastAsia"/>
                <w:color w:val="auto"/>
                <w:szCs w:val="21"/>
                <w:highlight w:val="none"/>
              </w:rPr>
              <w:t>→客户验收→售</w:t>
            </w:r>
            <w:r>
              <w:rPr>
                <w:rFonts w:hint="eastAsia"/>
                <w:szCs w:val="21"/>
                <w:highlight w:val="none"/>
              </w:rPr>
              <w:t>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主要设备：电脑、打印机等办公设备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 xml:space="preserve">重要环境因素有： </w:t>
            </w:r>
            <w:r>
              <w:rPr>
                <w:rFonts w:hint="eastAsia" w:ascii="宋体"/>
                <w:sz w:val="20"/>
                <w:szCs w:val="20"/>
              </w:rPr>
              <w:t>固废</w:t>
            </w:r>
            <w:r>
              <w:rPr>
                <w:rFonts w:hint="eastAsia" w:ascii="宋体"/>
                <w:sz w:val="20"/>
                <w:szCs w:val="20"/>
                <w:lang w:eastAsia="zh-CN"/>
              </w:rPr>
              <w:t>、</w:t>
            </w:r>
            <w:r>
              <w:rPr>
                <w:rFonts w:hint="eastAsia" w:ascii="宋体"/>
                <w:sz w:val="20"/>
                <w:szCs w:val="20"/>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sz w:val="20"/>
                <w:szCs w:val="20"/>
              </w:rPr>
              <w:t>火灾、意外伤害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 xml:space="preserve"> 45</w:t>
            </w:r>
            <w:r>
              <w:rPr>
                <w:rFonts w:hint="eastAsia" w:ascii="宋体"/>
                <w:color w:val="000000"/>
                <w:sz w:val="20"/>
                <w:szCs w:val="20"/>
              </w:rPr>
              <w:t>人，其中管理人员：</w:t>
            </w:r>
            <w:r>
              <w:rPr>
                <w:rFonts w:hint="eastAsia" w:ascii="宋体"/>
                <w:color w:val="000000"/>
                <w:sz w:val="20"/>
                <w:szCs w:val="20"/>
                <w:lang w:val="en-US" w:eastAsia="zh-CN"/>
              </w:rPr>
              <w:t>7</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重点审核部门：行政部</w:t>
            </w:r>
          </w:p>
          <w:p>
            <w:pPr>
              <w:spacing w:line="360" w:lineRule="auto"/>
              <w:rPr>
                <w:rFonts w:ascii="宋体"/>
                <w:b/>
                <w:color w:val="000000"/>
                <w:sz w:val="20"/>
                <w:szCs w:val="20"/>
              </w:rPr>
            </w:pPr>
            <w:r>
              <w:rPr>
                <w:rFonts w:hint="eastAsia" w:ascii="宋体" w:hAnsi="宋体"/>
                <w:b/>
                <w:color w:val="000000"/>
                <w:sz w:val="20"/>
                <w:szCs w:val="20"/>
              </w:rPr>
              <w:t>重点审核场所：办公区域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重点审核部门：行政部</w:t>
            </w:r>
          </w:p>
          <w:p>
            <w:pPr>
              <w:spacing w:line="260" w:lineRule="exact"/>
              <w:rPr>
                <w:rFonts w:ascii="宋体"/>
                <w:b/>
                <w:color w:val="000000"/>
                <w:sz w:val="20"/>
                <w:szCs w:val="20"/>
              </w:rPr>
            </w:pPr>
            <w:r>
              <w:rPr>
                <w:rFonts w:hint="eastAsia" w:ascii="宋体" w:hAnsi="宋体"/>
                <w:b/>
                <w:color w:val="000000"/>
                <w:sz w:val="20"/>
                <w:szCs w:val="20"/>
              </w:rPr>
              <w:t>重点审核场所：办公区域</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Cs w:val="21"/>
              </w:rPr>
              <w:t>建立有《内部审核控制程序》，于</w:t>
            </w:r>
            <w:r>
              <w:rPr>
                <w:rFonts w:hint="eastAsia" w:ascii="宋体" w:hAnsi="宋体" w:cs="Times New Roman"/>
                <w:szCs w:val="21"/>
                <w:lang w:eastAsia="zh-CN"/>
              </w:rPr>
              <w:t>202</w:t>
            </w:r>
            <w:r>
              <w:rPr>
                <w:rFonts w:hint="eastAsia" w:ascii="宋体" w:hAnsi="宋体" w:cs="Times New Roman"/>
                <w:szCs w:val="21"/>
                <w:lang w:val="en-US" w:eastAsia="zh-CN"/>
              </w:rPr>
              <w:t>1</w:t>
            </w:r>
            <w:r>
              <w:rPr>
                <w:rFonts w:hint="eastAsia" w:ascii="宋体" w:hAnsi="宋体" w:cs="Times New Roman"/>
                <w:szCs w:val="21"/>
                <w:lang w:eastAsia="zh-CN"/>
              </w:rPr>
              <w:t>年</w:t>
            </w:r>
            <w:r>
              <w:rPr>
                <w:rFonts w:hint="eastAsia" w:ascii="宋体" w:hAnsi="宋体" w:cs="Times New Roman"/>
                <w:szCs w:val="21"/>
                <w:lang w:val="en-US" w:eastAsia="zh-CN"/>
              </w:rPr>
              <w:t>2</w:t>
            </w:r>
            <w:r>
              <w:rPr>
                <w:rFonts w:hint="eastAsia" w:ascii="宋体" w:hAnsi="宋体" w:cs="Times New Roman"/>
                <w:szCs w:val="21"/>
                <w:lang w:eastAsia="zh-CN"/>
              </w:rPr>
              <w:t>月</w:t>
            </w:r>
            <w:r>
              <w:rPr>
                <w:rFonts w:hint="eastAsia" w:ascii="宋体" w:hAnsi="宋体" w:cs="Times New Roman"/>
                <w:szCs w:val="21"/>
                <w:lang w:val="en-US" w:eastAsia="zh-CN"/>
              </w:rPr>
              <w:t>5</w:t>
            </w:r>
            <w:r>
              <w:rPr>
                <w:rFonts w:hint="eastAsia" w:ascii="宋体" w:hAnsi="宋体" w:cs="Times New Roman"/>
                <w:szCs w:val="21"/>
                <w:lang w:eastAsia="zh-CN"/>
              </w:rPr>
              <w:t>日</w:t>
            </w:r>
            <w:r>
              <w:rPr>
                <w:rFonts w:hint="eastAsia" w:ascii="宋体" w:hAnsi="宋体"/>
                <w:szCs w:val="21"/>
              </w:rPr>
              <w:t>进行了内部审核。内部审核组组成：</w:t>
            </w:r>
            <w:r>
              <w:rPr>
                <w:rFonts w:hint="eastAsia"/>
                <w:color w:val="000000"/>
                <w:sz w:val="21"/>
                <w:szCs w:val="21"/>
              </w:rPr>
              <w:t>组长（A） ：</w:t>
            </w:r>
            <w:r>
              <w:rPr>
                <w:rFonts w:hint="eastAsia" w:ascii="宋体" w:hAnsi="宋体" w:cs="宋体"/>
                <w:lang w:eastAsia="zh-CN"/>
              </w:rPr>
              <w:t>陈思恩</w:t>
            </w:r>
            <w:r>
              <w:rPr>
                <w:rFonts w:hint="eastAsia"/>
                <w:color w:val="000000"/>
                <w:sz w:val="21"/>
                <w:szCs w:val="21"/>
              </w:rPr>
              <w:t xml:space="preserve">    组员（B）：</w:t>
            </w:r>
            <w:r>
              <w:rPr>
                <w:rFonts w:hint="eastAsia" w:ascii="宋体" w:hAnsi="宋体" w:cs="宋体"/>
                <w:lang w:eastAsia="zh-CN"/>
              </w:rPr>
              <w:t>薛伟</w:t>
            </w:r>
            <w:r>
              <w:rPr>
                <w:rFonts w:hint="eastAsia"/>
                <w:color w:val="000000"/>
                <w:sz w:val="21"/>
                <w:szCs w:val="21"/>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szCs w:val="21"/>
              </w:rPr>
            </w:pPr>
            <w:r>
              <w:rPr>
                <w:rFonts w:hint="eastAsia"/>
                <w:szCs w:val="21"/>
              </w:rPr>
              <w:t>了解内审是否覆盖了管理体系范围内的活动及标准的要求; （1）审核范围：与本公司质量管理体系有关的所有部门、活动和人员</w:t>
            </w:r>
          </w:p>
          <w:p>
            <w:pPr>
              <w:spacing w:line="260" w:lineRule="exact"/>
              <w:rPr>
                <w:szCs w:val="21"/>
              </w:rPr>
            </w:pPr>
            <w:r>
              <w:rPr>
                <w:rFonts w:hint="eastAsia"/>
                <w:szCs w:val="21"/>
              </w:rPr>
              <w:t>（2）审核准则：GB/T24001-2016、ISO45001-2018标准，整合型手册、程序文件、适用的法律法规、相关方要求等。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
                <w:color w:val="000000"/>
                <w:sz w:val="20"/>
                <w:szCs w:val="20"/>
              </w:rPr>
            </w:pPr>
            <w:r>
              <w:rPr>
                <w:rFonts w:hint="eastAsia"/>
                <w:szCs w:val="21"/>
              </w:rPr>
              <w:t>公司管理体系符合标准和公司管理体系规定，得到了有效实施与保持的信息。 环境、职业健康安全体系的运行基本有效。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202</w:t>
            </w:r>
            <w:r>
              <w:rPr>
                <w:rFonts w:hint="eastAsia" w:ascii="宋体" w:hAnsi="宋体"/>
                <w:kern w:val="0"/>
                <w:szCs w:val="21"/>
                <w:lang w:val="en-US" w:eastAsia="zh-CN"/>
              </w:rPr>
              <w:t>1</w:t>
            </w:r>
            <w:r>
              <w:rPr>
                <w:rFonts w:hint="eastAsia" w:ascii="宋体" w:hAnsi="宋体"/>
                <w:kern w:val="0"/>
                <w:szCs w:val="21"/>
              </w:rPr>
              <w:t>年</w:t>
            </w:r>
            <w:r>
              <w:rPr>
                <w:rFonts w:hint="eastAsia" w:ascii="宋体" w:hAnsi="宋体"/>
                <w:kern w:val="0"/>
                <w:szCs w:val="21"/>
                <w:lang w:val="en-US" w:eastAsia="zh-CN"/>
              </w:rPr>
              <w:t>02</w:t>
            </w:r>
            <w:r>
              <w:rPr>
                <w:rFonts w:hint="eastAsia" w:ascii="宋体" w:hAnsi="宋体"/>
                <w:kern w:val="0"/>
                <w:szCs w:val="21"/>
              </w:rPr>
              <w:t>月</w:t>
            </w:r>
            <w:r>
              <w:rPr>
                <w:rFonts w:hint="eastAsia" w:ascii="宋体" w:hAnsi="宋体"/>
                <w:kern w:val="0"/>
                <w:szCs w:val="21"/>
                <w:lang w:val="en-US" w:eastAsia="zh-CN"/>
              </w:rPr>
              <w:t>2</w:t>
            </w:r>
            <w:r>
              <w:rPr>
                <w:rFonts w:hint="eastAsia" w:ascii="宋体" w:hAnsi="宋体"/>
                <w:kern w:val="0"/>
                <w:szCs w:val="21"/>
              </w:rPr>
              <w:t>4日由总经理主持</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作好准备</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z w:val="20"/>
                <w:szCs w:val="20"/>
                <w:lang w:eastAsia="zh-CN"/>
              </w:rPr>
              <w:t>■</w:t>
            </w:r>
            <w:r>
              <w:rPr>
                <w:rFonts w:ascii="宋体" w:hAnsi="宋体"/>
                <w:b/>
                <w:color w:val="000000"/>
                <w:sz w:val="20"/>
                <w:szCs w:val="20"/>
              </w:rPr>
              <w:t>EMS/</w:t>
            </w:r>
            <w:r>
              <w:rPr>
                <w:rFonts w:hint="eastAsia" w:ascii="宋体" w:hAnsi="宋体"/>
                <w:b/>
                <w:color w:val="000000"/>
                <w:sz w:val="20"/>
                <w:szCs w:val="20"/>
                <w:lang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u w:val="single"/>
        </w:rPr>
      </w:pPr>
      <w:r>
        <w:rPr>
          <w:rFonts w:ascii="宋体" w:hAnsi="宋体"/>
          <w:b/>
          <w:color w:val="000000"/>
          <w:sz w:val="20"/>
          <w:szCs w:val="20"/>
          <w:u w:val="single"/>
        </w:rPr>
        <w:t>QMS:______________________</w:t>
      </w:r>
    </w:p>
    <w:p>
      <w:pPr>
        <w:spacing w:line="300" w:lineRule="auto"/>
        <w:ind w:firstLine="201" w:firstLineChars="100"/>
        <w:rPr>
          <w:rFonts w:hint="eastAsia" w:ascii="宋体" w:hAnsi="宋体"/>
          <w:szCs w:val="21"/>
          <w:u w:val="single"/>
        </w:rPr>
      </w:pPr>
      <w:r>
        <w:rPr>
          <w:rFonts w:ascii="宋体" w:hAnsi="宋体"/>
          <w:b/>
          <w:color w:val="000000"/>
          <w:sz w:val="20"/>
          <w:szCs w:val="20"/>
          <w:u w:val="single"/>
        </w:rPr>
        <w:t>EMS</w:t>
      </w:r>
      <w:r>
        <w:rPr>
          <w:rFonts w:ascii="宋体" w:hAnsi="宋体"/>
          <w:b/>
          <w:color w:val="000000"/>
          <w:sz w:val="20"/>
          <w:szCs w:val="20"/>
          <w:u w:val="single"/>
          <w:lang w:val="en-GB"/>
        </w:rPr>
        <w:t>:</w:t>
      </w:r>
      <w:r>
        <w:rPr>
          <w:rFonts w:ascii="宋体" w:hAnsi="宋体"/>
          <w:b/>
          <w:color w:val="000000"/>
          <w:sz w:val="20"/>
          <w:szCs w:val="20"/>
          <w:u w:val="single"/>
        </w:rPr>
        <w:t xml:space="preserve"> </w:t>
      </w:r>
      <w:r>
        <w:rPr>
          <w:rFonts w:hint="eastAsia" w:ascii="宋体" w:hAnsi="宋体"/>
          <w:b/>
          <w:color w:val="000000"/>
          <w:sz w:val="20"/>
          <w:szCs w:val="20"/>
          <w:u w:val="single"/>
          <w:lang w:val="en-US" w:eastAsia="zh-CN"/>
        </w:rPr>
        <w:t xml:space="preserve">   </w:t>
      </w:r>
      <w:r>
        <w:rPr>
          <w:rFonts w:hint="eastAsia" w:ascii="宋体" w:hAnsi="宋体"/>
          <w:szCs w:val="21"/>
          <w:u w:val="single"/>
        </w:rPr>
        <w:t>高低压绝缘子、电力金具铁附件的销售所涉及场所的相关环境管理活动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u w:val="single"/>
        </w:rPr>
        <w:t>OHSMS</w:t>
      </w:r>
      <w:r>
        <w:rPr>
          <w:rFonts w:ascii="宋体" w:hAnsi="宋体"/>
          <w:b/>
          <w:color w:val="000000"/>
          <w:sz w:val="20"/>
          <w:szCs w:val="20"/>
          <w:u w:val="single"/>
          <w:lang w:val="en-GB"/>
        </w:rPr>
        <w:t>:</w:t>
      </w:r>
      <w:r>
        <w:rPr>
          <w:rFonts w:hint="eastAsia" w:ascii="宋体" w:hAnsi="宋体"/>
          <w:b/>
          <w:color w:val="000000"/>
          <w:sz w:val="20"/>
          <w:szCs w:val="20"/>
          <w:u w:val="single"/>
          <w:lang w:val="en-US" w:eastAsia="zh-CN"/>
        </w:rPr>
        <w:t xml:space="preserve">   </w:t>
      </w:r>
      <w:r>
        <w:rPr>
          <w:rFonts w:hint="eastAsia" w:ascii="宋体" w:hAnsi="宋体"/>
          <w:szCs w:val="21"/>
          <w:u w:val="single"/>
        </w:rPr>
        <w:t xml:space="preserve">高低压绝缘子、电力金具铁附件的销售所涉及场所的相关职业健康安全管理活动 </w:t>
      </w:r>
    </w:p>
    <w:p>
      <w:pPr>
        <w:spacing w:before="156" w:beforeLines="50" w:after="62" w:afterLines="20" w:line="360" w:lineRule="exact"/>
        <w:ind w:firstLine="210" w:firstLineChars="100"/>
        <w:rPr>
          <w:rFonts w:ascii="宋体"/>
          <w:b/>
          <w:bCs/>
          <w:color w:val="000000"/>
          <w:sz w:val="26"/>
          <w:szCs w:val="26"/>
        </w:rPr>
      </w:pPr>
      <w:r>
        <w:rPr>
          <w:rFonts w:ascii="宋体" w:hAnsi="宋体"/>
        </w:rPr>
        <w:drawing>
          <wp:anchor distT="0" distB="0" distL="114300" distR="114300" simplePos="0" relativeHeight="251700224" behindDoc="0" locked="0" layoutInCell="1" allowOverlap="1">
            <wp:simplePos x="0" y="0"/>
            <wp:positionH relativeFrom="column">
              <wp:posOffset>1949450</wp:posOffset>
            </wp:positionH>
            <wp:positionV relativeFrom="paragraph">
              <wp:posOffset>319405</wp:posOffset>
            </wp:positionV>
            <wp:extent cx="746125" cy="464820"/>
            <wp:effectExtent l="0" t="0" r="635" b="7620"/>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6"/>
                    <a:stretch>
                      <a:fillRect/>
                    </a:stretch>
                  </pic:blipFill>
                  <pic:spPr>
                    <a:xfrm>
                      <a:off x="0" y="0"/>
                      <a:ext cx="746125" cy="46482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Times New Roman" w:hAnsi="Times New Roman" w:cs="Times New Roman"/>
          <w:b/>
          <w:color w:val="000000"/>
          <w:sz w:val="22"/>
          <w:szCs w:val="22"/>
        </w:rPr>
        <w:t>2021年03月20日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bCs/>
          <w:color w:val="000000"/>
          <w:sz w:val="26"/>
          <w:szCs w:val="26"/>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s="Times New Roman"/>
          <w:color w:val="000000"/>
          <w:sz w:val="28"/>
          <w:szCs w:val="28"/>
        </w:rPr>
      </w:pPr>
      <w:r>
        <w:rPr>
          <w:rFonts w:hint="eastAsia" w:eastAsia="隶书"/>
          <w:color w:val="000000"/>
          <w:sz w:val="28"/>
          <w:szCs w:val="28"/>
        </w:rPr>
        <w:t>受审核方：</w:t>
      </w:r>
      <w:r>
        <w:rPr>
          <w:rFonts w:hint="eastAsia" w:eastAsia="隶书" w:cs="Times New Roman"/>
          <w:color w:val="000000"/>
          <w:sz w:val="28"/>
          <w:szCs w:val="28"/>
        </w:rPr>
        <w:t>四川明鑫电器电瓷有限公司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948" w:type="dxa"/>
            <w:vAlign w:val="center"/>
          </w:tcPr>
          <w:p>
            <w:pPr>
              <w:snapToGrid w:val="0"/>
              <w:spacing w:line="28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5681" w:type="dxa"/>
            <w:vAlign w:val="center"/>
          </w:tcPr>
          <w:p>
            <w:pPr>
              <w:snapToGrid w:val="0"/>
              <w:spacing w:line="28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问题描述</w:t>
            </w:r>
          </w:p>
        </w:tc>
        <w:tc>
          <w:tcPr>
            <w:tcW w:w="1688" w:type="dxa"/>
            <w:vAlign w:val="center"/>
          </w:tcPr>
          <w:p>
            <w:pPr>
              <w:snapToGrid w:val="0"/>
              <w:spacing w:line="28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管理体系标准</w:t>
            </w:r>
          </w:p>
        </w:tc>
        <w:tc>
          <w:tcPr>
            <w:tcW w:w="1811" w:type="dxa"/>
            <w:vAlign w:val="center"/>
          </w:tcPr>
          <w:p>
            <w:pPr>
              <w:snapToGrid w:val="0"/>
              <w:spacing w:line="28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hAnsi="宋体" w:eastAsia="宋体" w:cs="宋体"/>
                <w:color w:val="000000"/>
                <w:sz w:val="21"/>
                <w:szCs w:val="21"/>
              </w:rPr>
            </w:pPr>
          </w:p>
        </w:tc>
        <w:tc>
          <w:tcPr>
            <w:tcW w:w="5681" w:type="dxa"/>
            <w:vAlign w:val="center"/>
          </w:tcPr>
          <w:p>
            <w:pPr>
              <w:pStyle w:val="5"/>
              <w:pBdr>
                <w:bottom w:val="none" w:color="auto" w:sz="0" w:space="0"/>
              </w:pBdr>
              <w:ind w:right="6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无</w:t>
            </w:r>
            <w:bookmarkStart w:id="24" w:name="_GoBack"/>
            <w:bookmarkEnd w:id="24"/>
          </w:p>
        </w:tc>
        <w:tc>
          <w:tcPr>
            <w:tcW w:w="1688" w:type="dxa"/>
            <w:vAlign w:val="center"/>
          </w:tcPr>
          <w:p>
            <w:pPr>
              <w:pStyle w:val="5"/>
              <w:pBdr>
                <w:bottom w:val="none" w:color="auto" w:sz="0" w:space="0"/>
              </w:pBdr>
              <w:ind w:right="600"/>
              <w:jc w:val="both"/>
              <w:rPr>
                <w:rFonts w:hint="eastAsia" w:ascii="宋体" w:hAnsi="宋体" w:eastAsia="宋体" w:cs="宋体"/>
                <w:color w:val="000000"/>
                <w:sz w:val="21"/>
                <w:szCs w:val="21"/>
              </w:rPr>
            </w:pPr>
          </w:p>
        </w:tc>
        <w:tc>
          <w:tcPr>
            <w:tcW w:w="1811" w:type="dxa"/>
            <w:vAlign w:val="center"/>
          </w:tcPr>
          <w:p>
            <w:pPr>
              <w:pStyle w:val="5"/>
              <w:pBdr>
                <w:bottom w:val="none" w:color="auto" w:sz="0" w:space="0"/>
              </w:pBdr>
              <w:ind w:right="600"/>
              <w:jc w:val="both"/>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hAnsi="宋体" w:eastAsia="宋体" w:cs="宋体"/>
                <w:color w:val="000000"/>
                <w:sz w:val="21"/>
                <w:szCs w:val="21"/>
              </w:rPr>
            </w:pPr>
          </w:p>
        </w:tc>
        <w:tc>
          <w:tcPr>
            <w:tcW w:w="5681" w:type="dxa"/>
            <w:vAlign w:val="center"/>
          </w:tcPr>
          <w:p>
            <w:pPr>
              <w:pStyle w:val="5"/>
              <w:pBdr>
                <w:bottom w:val="none" w:color="auto" w:sz="0" w:space="0"/>
              </w:pBdr>
              <w:ind w:right="600"/>
              <w:jc w:val="both"/>
              <w:rPr>
                <w:rFonts w:hint="eastAsia" w:ascii="宋体" w:hAnsi="宋体" w:eastAsia="宋体" w:cs="宋体"/>
                <w:color w:val="000000"/>
                <w:kern w:val="2"/>
                <w:sz w:val="21"/>
                <w:szCs w:val="21"/>
                <w:lang w:val="en-US" w:eastAsia="zh-CN" w:bidi="ar-SA"/>
              </w:rPr>
            </w:pPr>
          </w:p>
        </w:tc>
        <w:tc>
          <w:tcPr>
            <w:tcW w:w="1688" w:type="dxa"/>
            <w:vAlign w:val="center"/>
          </w:tcPr>
          <w:p>
            <w:pPr>
              <w:pStyle w:val="5"/>
              <w:pBdr>
                <w:bottom w:val="none" w:color="auto" w:sz="0" w:space="0"/>
              </w:pBdr>
              <w:ind w:right="600"/>
              <w:jc w:val="both"/>
              <w:rPr>
                <w:rFonts w:hint="eastAsia" w:ascii="宋体" w:hAnsi="宋体" w:eastAsia="宋体" w:cs="宋体"/>
                <w:color w:val="000000"/>
                <w:sz w:val="21"/>
                <w:szCs w:val="21"/>
              </w:rPr>
            </w:pPr>
          </w:p>
        </w:tc>
        <w:tc>
          <w:tcPr>
            <w:tcW w:w="1811" w:type="dxa"/>
            <w:vAlign w:val="center"/>
          </w:tcPr>
          <w:p>
            <w:pPr>
              <w:pStyle w:val="5"/>
              <w:pBdr>
                <w:bottom w:val="none" w:color="auto" w:sz="0" w:space="0"/>
              </w:pBdr>
              <w:ind w:right="600"/>
              <w:jc w:val="both"/>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hAnsi="宋体" w:eastAsia="宋体" w:cs="宋体"/>
                <w:color w:val="000000"/>
                <w:sz w:val="21"/>
                <w:szCs w:val="21"/>
              </w:rPr>
            </w:pPr>
          </w:p>
        </w:tc>
        <w:tc>
          <w:tcPr>
            <w:tcW w:w="5681" w:type="dxa"/>
            <w:vAlign w:val="center"/>
          </w:tcPr>
          <w:p>
            <w:pPr>
              <w:pStyle w:val="5"/>
              <w:pBdr>
                <w:bottom w:val="none" w:color="auto" w:sz="0" w:space="0"/>
              </w:pBdr>
              <w:ind w:right="600"/>
              <w:jc w:val="both"/>
              <w:rPr>
                <w:rFonts w:hint="eastAsia" w:ascii="宋体" w:hAnsi="宋体" w:eastAsia="宋体" w:cs="宋体"/>
                <w:color w:val="000000"/>
                <w:kern w:val="2"/>
                <w:sz w:val="21"/>
                <w:szCs w:val="21"/>
                <w:lang w:val="en-US" w:eastAsia="zh-CN" w:bidi="ar-SA"/>
              </w:rPr>
            </w:pPr>
          </w:p>
        </w:tc>
        <w:tc>
          <w:tcPr>
            <w:tcW w:w="1688" w:type="dxa"/>
            <w:vAlign w:val="center"/>
          </w:tcPr>
          <w:p>
            <w:pPr>
              <w:pStyle w:val="5"/>
              <w:pBdr>
                <w:bottom w:val="none" w:color="auto" w:sz="0" w:space="0"/>
              </w:pBdr>
              <w:ind w:right="600"/>
              <w:jc w:val="both"/>
              <w:rPr>
                <w:rFonts w:hint="eastAsia" w:ascii="宋体" w:hAnsi="宋体" w:eastAsia="宋体" w:cs="宋体"/>
                <w:color w:val="000000"/>
                <w:sz w:val="21"/>
                <w:szCs w:val="21"/>
              </w:rPr>
            </w:pPr>
          </w:p>
        </w:tc>
        <w:tc>
          <w:tcPr>
            <w:tcW w:w="1811" w:type="dxa"/>
            <w:vAlign w:val="center"/>
          </w:tcPr>
          <w:p>
            <w:pPr>
              <w:pStyle w:val="5"/>
              <w:pBdr>
                <w:bottom w:val="none" w:color="auto" w:sz="0" w:space="0"/>
              </w:pBdr>
              <w:ind w:right="600"/>
              <w:jc w:val="both"/>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48" w:type="dxa"/>
            <w:vAlign w:val="center"/>
          </w:tcPr>
          <w:p>
            <w:pPr>
              <w:pStyle w:val="5"/>
              <w:pBdr>
                <w:bottom w:val="none" w:color="auto" w:sz="0" w:space="0"/>
              </w:pBdr>
              <w:ind w:right="600"/>
              <w:jc w:val="both"/>
              <w:rPr>
                <w:rFonts w:hint="eastAsia" w:ascii="宋体" w:hAnsi="宋体" w:eastAsia="宋体" w:cs="宋体"/>
                <w:color w:val="000000"/>
                <w:sz w:val="21"/>
                <w:szCs w:val="21"/>
              </w:rPr>
            </w:pPr>
          </w:p>
        </w:tc>
        <w:tc>
          <w:tcPr>
            <w:tcW w:w="5681" w:type="dxa"/>
            <w:vAlign w:val="center"/>
          </w:tcPr>
          <w:p>
            <w:pPr>
              <w:pStyle w:val="5"/>
              <w:pBdr>
                <w:bottom w:val="none" w:color="auto" w:sz="0" w:space="0"/>
              </w:pBdr>
              <w:ind w:right="600"/>
              <w:jc w:val="both"/>
              <w:rPr>
                <w:rFonts w:hint="eastAsia" w:ascii="宋体" w:hAnsi="宋体" w:eastAsia="宋体" w:cs="宋体"/>
                <w:color w:val="000000"/>
                <w:kern w:val="2"/>
                <w:sz w:val="21"/>
                <w:szCs w:val="21"/>
                <w:lang w:val="en-US" w:eastAsia="zh-CN" w:bidi="ar-SA"/>
              </w:rPr>
            </w:pPr>
          </w:p>
        </w:tc>
        <w:tc>
          <w:tcPr>
            <w:tcW w:w="1688" w:type="dxa"/>
            <w:vAlign w:val="center"/>
          </w:tcPr>
          <w:p>
            <w:pPr>
              <w:pStyle w:val="5"/>
              <w:pBdr>
                <w:bottom w:val="none" w:color="auto" w:sz="0" w:space="0"/>
              </w:pBdr>
              <w:ind w:right="600"/>
              <w:jc w:val="both"/>
              <w:rPr>
                <w:rFonts w:hint="eastAsia" w:ascii="宋体" w:hAnsi="宋体" w:eastAsia="宋体" w:cs="宋体"/>
                <w:color w:val="000000"/>
                <w:sz w:val="21"/>
                <w:szCs w:val="21"/>
              </w:rPr>
            </w:pPr>
          </w:p>
        </w:tc>
        <w:tc>
          <w:tcPr>
            <w:tcW w:w="1811" w:type="dxa"/>
            <w:vAlign w:val="center"/>
          </w:tcPr>
          <w:p>
            <w:pPr>
              <w:pStyle w:val="5"/>
              <w:pBdr>
                <w:bottom w:val="none" w:color="auto" w:sz="0" w:space="0"/>
              </w:pBdr>
              <w:ind w:right="600"/>
              <w:jc w:val="both"/>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48" w:type="dxa"/>
            <w:vAlign w:val="center"/>
          </w:tcPr>
          <w:p>
            <w:pPr>
              <w:pStyle w:val="5"/>
              <w:pBdr>
                <w:bottom w:val="none" w:color="auto" w:sz="0" w:space="0"/>
              </w:pBdr>
              <w:ind w:right="600"/>
              <w:jc w:val="both"/>
              <w:rPr>
                <w:rFonts w:hint="eastAsia" w:ascii="宋体" w:hAnsi="宋体" w:eastAsia="宋体" w:cs="宋体"/>
                <w:color w:val="000000"/>
                <w:sz w:val="21"/>
                <w:szCs w:val="21"/>
              </w:rPr>
            </w:pPr>
          </w:p>
        </w:tc>
        <w:tc>
          <w:tcPr>
            <w:tcW w:w="5681" w:type="dxa"/>
            <w:vAlign w:val="center"/>
          </w:tcPr>
          <w:p>
            <w:pPr>
              <w:pStyle w:val="5"/>
              <w:pBdr>
                <w:bottom w:val="none" w:color="auto" w:sz="0" w:space="0"/>
              </w:pBdr>
              <w:ind w:right="600"/>
              <w:jc w:val="both"/>
              <w:rPr>
                <w:rFonts w:hint="eastAsia" w:ascii="宋体" w:hAnsi="宋体" w:eastAsia="宋体" w:cs="宋体"/>
                <w:color w:val="000000"/>
                <w:kern w:val="2"/>
                <w:sz w:val="21"/>
                <w:szCs w:val="21"/>
                <w:lang w:val="en-US" w:eastAsia="zh-CN" w:bidi="ar-SA"/>
              </w:rPr>
            </w:pPr>
          </w:p>
        </w:tc>
        <w:tc>
          <w:tcPr>
            <w:tcW w:w="1688" w:type="dxa"/>
            <w:vAlign w:val="center"/>
          </w:tcPr>
          <w:p>
            <w:pPr>
              <w:pStyle w:val="5"/>
              <w:pBdr>
                <w:bottom w:val="none" w:color="auto" w:sz="0" w:space="0"/>
              </w:pBdr>
              <w:ind w:right="600"/>
              <w:jc w:val="both"/>
              <w:rPr>
                <w:rFonts w:hint="eastAsia" w:ascii="宋体" w:hAnsi="宋体" w:eastAsia="宋体" w:cs="宋体"/>
                <w:color w:val="000000"/>
                <w:sz w:val="21"/>
                <w:szCs w:val="21"/>
              </w:rPr>
            </w:pPr>
          </w:p>
        </w:tc>
        <w:tc>
          <w:tcPr>
            <w:tcW w:w="1811" w:type="dxa"/>
            <w:vAlign w:val="center"/>
          </w:tcPr>
          <w:p>
            <w:pPr>
              <w:pStyle w:val="5"/>
              <w:pBdr>
                <w:bottom w:val="none" w:color="auto" w:sz="0" w:space="0"/>
              </w:pBdr>
              <w:ind w:right="600"/>
              <w:jc w:val="both"/>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对一阶段现场审核问题整改要求：</w:t>
            </w:r>
          </w:p>
          <w:p>
            <w:pPr>
              <w:spacing w:line="28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□所有问题全部整改，三个月内并提交书面材料验证</w:t>
            </w:r>
          </w:p>
          <w:p>
            <w:pPr>
              <w:spacing w:line="28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□重要问题全部整改（其中第项，共项）三个月内并提交书面材料验证</w:t>
            </w:r>
          </w:p>
          <w:p>
            <w:pPr>
              <w:spacing w:line="280" w:lineRule="exact"/>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t>二阶段现场审核前不需提交书面材料的整改项（第项，共项）</w:t>
            </w:r>
          </w:p>
          <w:p>
            <w:pPr>
              <w:spacing w:line="280" w:lineRule="exact"/>
              <w:rPr>
                <w:rFonts w:hint="eastAsia" w:ascii="宋体" w:hAnsi="宋体" w:eastAsia="宋体" w:cs="宋体"/>
                <w:color w:val="000000"/>
                <w:kern w:val="2"/>
                <w:sz w:val="21"/>
                <w:szCs w:val="21"/>
                <w:lang w:val="en-US" w:eastAsia="zh-CN" w:bidi="ar-SA"/>
              </w:rPr>
            </w:pPr>
          </w:p>
          <w:p>
            <w:pPr>
              <w:spacing w:line="28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审核员：</w:t>
            </w:r>
          </w:p>
          <w:p>
            <w:pPr>
              <w:spacing w:line="280" w:lineRule="exact"/>
              <w:rPr>
                <w:rFonts w:hint="eastAsia" w:ascii="宋体" w:hAnsi="宋体" w:eastAsia="宋体" w:cs="宋体"/>
                <w:color w:val="000000"/>
                <w:kern w:val="2"/>
                <w:sz w:val="21"/>
                <w:szCs w:val="21"/>
                <w:lang w:val="en-US" w:eastAsia="zh-CN" w:bidi="ar-SA"/>
              </w:rPr>
            </w:pPr>
          </w:p>
          <w:p>
            <w:pPr>
              <w:spacing w:line="28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ascii="宋体" w:hAnsi="宋体" w:eastAsia="宋体" w:cs="宋体"/>
                <w:color w:val="000000"/>
                <w:kern w:val="2"/>
                <w:sz w:val="21"/>
                <w:szCs w:val="21"/>
                <w:lang w:val="en-US" w:eastAsia="zh-CN" w:bidi="ar-SA"/>
              </w:rPr>
            </w:pPr>
          </w:p>
          <w:p>
            <w:pPr>
              <w:spacing w:line="28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受审核方确认：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对一阶段现场审核问题整改结果的验证结论及推荐意见：</w:t>
            </w:r>
          </w:p>
          <w:p>
            <w:pPr>
              <w:spacing w:line="360" w:lineRule="exact"/>
              <w:ind w:firstLine="105" w:firstLineChars="5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□所有问题全部整改，并符合要求□未按期完成整改□整改后不符合要求，需重新整改.</w:t>
            </w:r>
          </w:p>
          <w:p>
            <w:pPr>
              <w:tabs>
                <w:tab w:val="left" w:pos="8740"/>
              </w:tabs>
              <w:spacing w:line="36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推荐意见：</w:t>
            </w:r>
            <w:r>
              <w:rPr>
                <w:rFonts w:hint="eastAsia" w:ascii="宋体" w:hAnsi="宋体"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t>可进行二阶段审核□需再次安排一阶段审核□不进入二阶段审核</w:t>
            </w:r>
          </w:p>
          <w:p>
            <w:pPr>
              <w:tabs>
                <w:tab w:val="left" w:pos="8740"/>
              </w:tabs>
              <w:spacing w:line="36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ab/>
            </w:r>
          </w:p>
          <w:p>
            <w:pPr>
              <w:spacing w:line="28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验证人：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A4698C"/>
    <w:rsid w:val="0870187A"/>
    <w:rsid w:val="3FCD46AE"/>
    <w:rsid w:val="51DD0477"/>
    <w:rsid w:val="57612D33"/>
    <w:rsid w:val="57C53271"/>
    <w:rsid w:val="64A81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2021-03-22T01:47:22Z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