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0179-2018-QEO-2021</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成都蓝轩清洁服务有限公司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四川省成都市锦江区锦华路一段8号1栋11单元28层2850号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600000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成都市双流区空港国际城一期一栋一单元618</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600000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63" w:firstLineChars="300"/>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91510104580034572F</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18180808585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u w:val="single"/>
        </w:rPr>
      </w:pPr>
      <w:r>
        <w:rPr>
          <w:rFonts w:hint="eastAsia"/>
          <w:b/>
          <w:color w:val="000000" w:themeColor="text1"/>
          <w:sz w:val="22"/>
          <w:szCs w:val="22"/>
        </w:rPr>
        <w:t>法人代表</w:t>
      </w:r>
      <w:r>
        <w:rPr>
          <w:rFonts w:hint="eastAsia" w:ascii="Times New Roman" w:hAnsi="Times New Roman" w:cs="Times New Roman"/>
          <w:b/>
          <w:color w:val="000000" w:themeColor="text1"/>
          <w:sz w:val="22"/>
          <w:szCs w:val="22"/>
        </w:rPr>
        <w:t>：</w:t>
      </w:r>
      <w:bookmarkStart w:id="10" w:name="法人"/>
      <w:r>
        <w:rPr>
          <w:rFonts w:hint="eastAsia" w:ascii="Times New Roman" w:hAnsi="Times New Roman" w:cs="Times New Roman"/>
          <w:b/>
          <w:color w:val="000000" w:themeColor="text1"/>
          <w:sz w:val="22"/>
          <w:szCs w:val="22"/>
        </w:rPr>
        <w:t>张文科</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张文科</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体系人数"/>
      <w:r>
        <w:rPr>
          <w:b/>
          <w:color w:val="000000" w:themeColor="text1"/>
          <w:sz w:val="22"/>
          <w:szCs w:val="22"/>
          <w:u w:val="single"/>
        </w:rPr>
        <w:t>Q:25,E:25,O:25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ISO45001:2018；</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Q:监查2,E:监查2,O:监查2</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u w:val="single"/>
          <w:lang w:eastAsia="zh-CN"/>
        </w:rPr>
      </w:pPr>
      <w:r>
        <w:rPr>
          <w:rFonts w:hint="eastAsia" w:ascii="宋体" w:hAnsi="宋体"/>
          <w:b/>
          <w:color w:val="000000" w:themeColor="text1"/>
          <w:sz w:val="22"/>
          <w:szCs w:val="22"/>
          <w:u w:val="none"/>
        </w:rPr>
        <w:t>■</w:t>
      </w:r>
      <w:r>
        <w:rPr>
          <w:rFonts w:hint="eastAsia"/>
          <w:b/>
          <w:color w:val="000000" w:themeColor="text1"/>
          <w:sz w:val="22"/>
          <w:szCs w:val="22"/>
          <w:u w:val="none"/>
        </w:rPr>
        <w:t>OHSMS</w:t>
      </w:r>
      <w:r>
        <w:rPr>
          <w:rFonts w:hint="eastAsia"/>
          <w:b/>
          <w:color w:val="000000" w:themeColor="text1"/>
          <w:sz w:val="22"/>
          <w:szCs w:val="22"/>
        </w:rPr>
        <w:t>覆</w:t>
      </w:r>
      <w:r>
        <w:rPr>
          <w:rFonts w:hint="eastAsia" w:ascii="Times New Roman" w:hAnsi="Times New Roman" w:cs="Times New Roman"/>
          <w:b/>
          <w:color w:val="000000" w:themeColor="text1"/>
          <w:sz w:val="22"/>
          <w:szCs w:val="22"/>
        </w:rPr>
        <w:t>盖范围（中文）</w:t>
      </w:r>
      <w:r>
        <w:rPr>
          <w:rFonts w:hint="eastAsia" w:ascii="Times New Roman" w:hAnsi="Times New Roman" w:cs="Times New Roman"/>
          <w:b/>
          <w:color w:val="000000" w:themeColor="text1"/>
          <w:sz w:val="22"/>
          <w:szCs w:val="22"/>
          <w:lang w:eastAsia="zh-CN"/>
        </w:rPr>
        <w:t>：</w:t>
      </w:r>
      <w:r>
        <w:rPr>
          <w:rFonts w:hint="eastAsia" w:ascii="Times New Roman" w:hAnsi="Times New Roman" w:cs="Times New Roman"/>
          <w:b/>
          <w:color w:val="000000" w:themeColor="text1"/>
          <w:sz w:val="22"/>
          <w:szCs w:val="22"/>
        </w:rPr>
        <w:t>资质范围内的清洁服务（含外墙清洗，管道清洗）所涉及的相关职业健康安全管理活动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□OHSMS（英文：）</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color w:val="000000" w:themeColor="text1"/>
          <w:sz w:val="22"/>
          <w:szCs w:val="22"/>
        </w:rPr>
      </w:pPr>
      <w:r>
        <w:drawing>
          <wp:anchor distT="0" distB="0" distL="114300" distR="114300" simplePos="0" relativeHeight="251694080" behindDoc="0" locked="0" layoutInCell="1" allowOverlap="1">
            <wp:simplePos x="0" y="0"/>
            <wp:positionH relativeFrom="column">
              <wp:posOffset>4741545</wp:posOffset>
            </wp:positionH>
            <wp:positionV relativeFrom="paragraph">
              <wp:posOffset>114300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2021年03月19日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BA2699"/>
    <w:rsid w:val="32FE143F"/>
    <w:rsid w:val="376E2E07"/>
    <w:rsid w:val="61EF4DD6"/>
    <w:rsid w:val="660F2EAE"/>
    <w:rsid w:val="76340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2021-03-17T06:27:37Z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