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11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1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1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发展部     </w:t>
            </w:r>
            <w:r>
              <w:rPr>
                <w:rFonts w:hint="eastAsia"/>
                <w:sz w:val="24"/>
                <w:szCs w:val="24"/>
              </w:rPr>
              <w:t>主管领导：</w:t>
            </w:r>
            <w:r>
              <w:rPr>
                <w:rFonts w:hint="eastAsia"/>
                <w:sz w:val="24"/>
                <w:szCs w:val="24"/>
                <w:lang w:val="en-US" w:eastAsia="zh-CN"/>
              </w:rPr>
              <w:t xml:space="preserve">易柔伊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0" w:type="dxa"/>
            <w:vMerge w:val="continue"/>
            <w:vAlign w:val="center"/>
          </w:tcPr>
          <w:p/>
        </w:tc>
        <w:tc>
          <w:tcPr>
            <w:tcW w:w="111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2021.3.23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0" w:type="dxa"/>
            <w:vMerge w:val="continue"/>
            <w:vAlign w:val="center"/>
          </w:tcPr>
          <w:p/>
        </w:tc>
        <w:tc>
          <w:tcPr>
            <w:tcW w:w="1110" w:type="dxa"/>
            <w:vMerge w:val="continue"/>
            <w:vAlign w:val="center"/>
          </w:tcPr>
          <w:p/>
        </w:tc>
        <w:tc>
          <w:tcPr>
            <w:tcW w:w="10004" w:type="dxa"/>
            <w:vAlign w:val="center"/>
          </w:tcPr>
          <w:p>
            <w:pPr>
              <w:spacing w:line="360" w:lineRule="auto"/>
              <w:rPr>
                <w:rFonts w:hint="eastAsia"/>
                <w:sz w:val="24"/>
                <w:szCs w:val="24"/>
              </w:rPr>
            </w:pPr>
            <w:r>
              <w:rPr>
                <w:rFonts w:hint="eastAsia"/>
                <w:sz w:val="24"/>
                <w:szCs w:val="24"/>
              </w:rPr>
              <w:t>审核条款：</w:t>
            </w:r>
          </w:p>
          <w:p>
            <w:pPr>
              <w:spacing w:line="360" w:lineRule="auto"/>
              <w:rPr>
                <w:rFonts w:hint="eastAsia" w:ascii="宋体" w:hAnsi="宋体" w:cs="Arial"/>
                <w:sz w:val="21"/>
                <w:szCs w:val="21"/>
              </w:rPr>
            </w:pPr>
            <w:r>
              <w:rPr>
                <w:rFonts w:hint="eastAsia" w:ascii="宋体" w:hAnsi="宋体" w:cs="Arial"/>
                <w:sz w:val="21"/>
                <w:szCs w:val="21"/>
              </w:rPr>
              <w:t>QMS:5.3组织的岗位、职责和权限、6.2质量目标、8.2产品和服务的要求、8.4外部提供过程、产品和服务的控制、8.5.3顾客或外部供方的财产、8.5.5交付后的活动、9.1.2顾客满意</w:t>
            </w:r>
          </w:p>
          <w:p>
            <w:pPr>
              <w:adjustRightInd w:val="0"/>
              <w:snapToGrid w:val="0"/>
              <w:spacing w:line="360" w:lineRule="auto"/>
              <w:ind w:right="105" w:rightChars="50"/>
              <w:jc w:val="left"/>
              <w:textAlignment w:val="baseline"/>
              <w:rPr>
                <w:rFonts w:ascii="宋体" w:cs="Arial"/>
                <w:sz w:val="21"/>
                <w:szCs w:val="21"/>
              </w:rPr>
            </w:pP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8.2</w:t>
            </w:r>
            <w:r>
              <w:rPr>
                <w:rFonts w:hint="eastAsia" w:ascii="宋体" w:hAnsi="宋体" w:cs="Arial"/>
                <w:sz w:val="21"/>
                <w:szCs w:val="21"/>
              </w:rPr>
              <w:t>产品和服务的要求</w:t>
            </w:r>
            <w:r>
              <w:rPr>
                <w:rFonts w:hint="eastAsia" w:ascii="宋体" w:hAnsi="宋体" w:cs="Arial"/>
                <w:sz w:val="21"/>
                <w:szCs w:val="21"/>
                <w:lang w:eastAsia="zh-CN"/>
              </w:rPr>
              <w:t>、</w:t>
            </w:r>
            <w:r>
              <w:rPr>
                <w:rFonts w:ascii="宋体" w:hAnsi="宋体" w:cs="Arial"/>
                <w:sz w:val="21"/>
                <w:szCs w:val="21"/>
              </w:rPr>
              <w:t>8.5.3</w:t>
            </w:r>
            <w:r>
              <w:rPr>
                <w:rFonts w:hint="eastAsia" w:ascii="宋体" w:hAnsi="宋体" w:cs="Arial"/>
                <w:sz w:val="21"/>
                <w:szCs w:val="21"/>
              </w:rPr>
              <w:t>顾客或外部供方的财产、</w:t>
            </w:r>
            <w:r>
              <w:rPr>
                <w:rFonts w:ascii="宋体" w:hAnsi="宋体" w:cs="Arial"/>
                <w:sz w:val="21"/>
                <w:szCs w:val="21"/>
              </w:rPr>
              <w:t>9.1.2</w:t>
            </w:r>
            <w:r>
              <w:rPr>
                <w:rFonts w:hint="eastAsia" w:ascii="宋体" w:hAnsi="宋体" w:cs="Arial"/>
                <w:sz w:val="21"/>
                <w:szCs w:val="21"/>
              </w:rPr>
              <w:t>顾客满意、</w:t>
            </w:r>
            <w:r>
              <w:rPr>
                <w:rFonts w:ascii="宋体" w:hAnsi="宋体" w:cs="Arial"/>
                <w:sz w:val="21"/>
                <w:szCs w:val="21"/>
              </w:rPr>
              <w:t>8.5.5</w:t>
            </w:r>
            <w:r>
              <w:rPr>
                <w:rFonts w:hint="eastAsia" w:ascii="宋体" w:hAnsi="宋体" w:cs="Arial"/>
                <w:sz w:val="21"/>
                <w:szCs w:val="21"/>
              </w:rPr>
              <w:t>交付后的活动，</w:t>
            </w:r>
            <w:r>
              <w:rPr>
                <w:rFonts w:ascii="宋体" w:hAnsi="宋体" w:cs="Arial"/>
                <w:sz w:val="21"/>
                <w:szCs w:val="21"/>
              </w:rPr>
              <w:t>8.4</w:t>
            </w:r>
            <w:r>
              <w:rPr>
                <w:rFonts w:hint="eastAsia" w:ascii="宋体" w:hAnsi="宋体" w:cs="Arial"/>
                <w:sz w:val="21"/>
                <w:szCs w:val="21"/>
              </w:rPr>
              <w:t>外部提供过程、产品和服务的控制</w:t>
            </w:r>
          </w:p>
          <w:p>
            <w:pPr>
              <w:spacing w:line="360" w:lineRule="auto"/>
              <w:rPr>
                <w:rFonts w:hint="eastAsia" w:ascii="宋体" w:hAnsi="宋体" w:cs="Arial"/>
                <w:sz w:val="21"/>
                <w:szCs w:val="21"/>
              </w:rPr>
            </w:pPr>
            <w:r>
              <w:rPr>
                <w:rFonts w:ascii="宋体" w:hAnsi="宋体" w:cs="Arial"/>
                <w:sz w:val="21"/>
                <w:szCs w:val="21"/>
              </w:rPr>
              <w:t>EMS</w:t>
            </w:r>
            <w:r>
              <w:rPr>
                <w:rFonts w:hint="eastAsia" w:ascii="宋体" w:hAnsi="宋体" w:cs="Arial"/>
                <w:sz w:val="21"/>
                <w:szCs w:val="21"/>
              </w:rPr>
              <w:t>/OHSMS</w:t>
            </w:r>
            <w:r>
              <w:rPr>
                <w:rFonts w:ascii="宋体" w:hAnsi="宋体" w:cs="Arial"/>
                <w:sz w:val="21"/>
                <w:szCs w:val="21"/>
              </w:rPr>
              <w:t>: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rPr>
              <w:t>组织的岗位、职责和权限</w:t>
            </w:r>
          </w:p>
        </w:tc>
        <w:tc>
          <w:tcPr>
            <w:tcW w:w="111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lang w:val="en-US" w:eastAsia="zh-CN"/>
              </w:rPr>
              <w:t>QES:</w:t>
            </w:r>
            <w:r>
              <w:rPr>
                <w:rFonts w:hint="eastAsia" w:ascii="宋体" w:hAnsi="宋体" w:cs="Arial"/>
                <w:sz w:val="21"/>
                <w:szCs w:val="21"/>
              </w:rPr>
              <w:t>5.3</w:t>
            </w:r>
          </w:p>
        </w:tc>
        <w:tc>
          <w:tcPr>
            <w:tcW w:w="10004" w:type="dxa"/>
          </w:tcPr>
          <w:p>
            <w:pPr>
              <w:spacing w:line="360" w:lineRule="auto"/>
              <w:ind w:firstLine="420" w:firstLineChars="200"/>
              <w:rPr>
                <w:rFonts w:hint="default"/>
                <w:lang w:val="en-US" w:eastAsia="zh-CN"/>
              </w:rPr>
            </w:pPr>
            <w:r>
              <w:rPr>
                <w:rFonts w:hint="eastAsia"/>
                <w:lang w:val="en-US" w:eastAsia="zh-CN"/>
              </w:rPr>
              <w:t>发展部现有人员4人，主管2人，专员2人；</w:t>
            </w:r>
          </w:p>
          <w:p>
            <w:pPr>
              <w:spacing w:line="360" w:lineRule="auto"/>
              <w:ind w:firstLine="420" w:firstLineChars="200"/>
              <w:rPr>
                <w:rFonts w:hint="eastAsia"/>
                <w:lang w:val="en-US" w:eastAsia="zh-CN"/>
              </w:rPr>
            </w:pPr>
            <w:r>
              <w:rPr>
                <w:rFonts w:hint="eastAsia"/>
                <w:lang w:val="en-US" w:eastAsia="zh-CN"/>
              </w:rPr>
              <w:t>主要负责：</w:t>
            </w:r>
          </w:p>
          <w:p>
            <w:pPr>
              <w:spacing w:line="360" w:lineRule="auto"/>
              <w:ind w:firstLine="420" w:firstLineChars="200"/>
              <w:rPr>
                <w:rFonts w:hint="eastAsia"/>
                <w:lang w:val="en-US" w:eastAsia="zh-CN"/>
              </w:rPr>
            </w:pPr>
            <w:r>
              <w:rPr>
                <w:rFonts w:hint="eastAsia"/>
                <w:lang w:val="en-US" w:eastAsia="zh-CN"/>
              </w:rPr>
              <w:t>业务合同的评审、签订和与顾客沟通等；顾客对公司满意程度的测量；</w:t>
            </w:r>
          </w:p>
          <w:p>
            <w:pPr>
              <w:spacing w:line="360" w:lineRule="auto"/>
              <w:ind w:firstLine="420" w:firstLineChars="200"/>
              <w:rPr>
                <w:rFonts w:hint="eastAsia"/>
                <w:lang w:val="en-US" w:eastAsia="zh-CN"/>
              </w:rPr>
            </w:pPr>
            <w:r>
              <w:rPr>
                <w:rFonts w:hint="eastAsia"/>
                <w:lang w:val="en-US" w:eastAsia="zh-CN"/>
              </w:rPr>
              <w:t>供应商的选择评价及采购工作；</w:t>
            </w:r>
          </w:p>
          <w:p>
            <w:pPr>
              <w:spacing w:line="360" w:lineRule="auto"/>
              <w:ind w:firstLine="420" w:firstLineChars="200"/>
              <w:rPr>
                <w:rFonts w:hint="default"/>
                <w:lang w:val="en-US" w:eastAsia="zh-CN"/>
              </w:rPr>
            </w:pPr>
            <w:r>
              <w:rPr>
                <w:rFonts w:hint="eastAsia"/>
                <w:lang w:val="en-US" w:eastAsia="zh-CN"/>
              </w:rPr>
              <w:t>本部门的环境因素、危险源的识别和控制；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1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z w:val="21"/>
                <w:szCs w:val="21"/>
              </w:rPr>
              <w:t>目标</w:t>
            </w:r>
            <w:r>
              <w:rPr>
                <w:rFonts w:hint="eastAsia" w:ascii="宋体" w:hAnsi="宋体" w:cs="Arial"/>
                <w:sz w:val="21"/>
                <w:szCs w:val="21"/>
                <w:lang w:val="en-US" w:eastAsia="zh-CN"/>
              </w:rPr>
              <w:t>及措施</w:t>
            </w:r>
            <w:bookmarkStart w:id="0" w:name="_GoBack"/>
            <w:bookmarkEnd w:id="0"/>
          </w:p>
        </w:tc>
        <w:tc>
          <w:tcPr>
            <w:tcW w:w="111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lang w:val="en-US" w:eastAsia="zh-CN"/>
              </w:rPr>
              <w:t>QES：</w:t>
            </w:r>
            <w:r>
              <w:rPr>
                <w:rFonts w:hint="eastAsia" w:ascii="宋体" w:hAnsi="宋体" w:cs="Arial"/>
                <w:sz w:val="21"/>
                <w:szCs w:val="21"/>
              </w:rPr>
              <w:t>6.2</w:t>
            </w:r>
          </w:p>
        </w:tc>
        <w:tc>
          <w:tcPr>
            <w:tcW w:w="10004" w:type="dxa"/>
          </w:tcPr>
          <w:p>
            <w:pPr>
              <w:spacing w:line="360" w:lineRule="auto"/>
              <w:ind w:firstLine="420" w:firstLineChars="200"/>
              <w:rPr>
                <w:rFonts w:hint="eastAsia"/>
                <w:lang w:val="en-US" w:eastAsia="zh-CN"/>
              </w:rPr>
            </w:pPr>
            <w:r>
              <w:rPr>
                <w:rFonts w:hint="eastAsia"/>
                <w:lang w:val="en-US" w:eastAsia="zh-CN"/>
              </w:rPr>
              <w:t>公司手册明确了管理目标：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1、顾客满意度≥96%；</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2、顾客反馈及时处理率≧95%；</w:t>
            </w:r>
          </w:p>
          <w:p>
            <w:pPr>
              <w:spacing w:line="360" w:lineRule="auto"/>
              <w:ind w:firstLine="420" w:firstLineChars="2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3、工程咨询最终成果优良率90%以上</w:t>
            </w:r>
            <w:r>
              <w:rPr>
                <w:rFonts w:hint="eastAsia" w:ascii="Times New Roman" w:hAnsi="Times New Roman" w:cs="Times New Roman"/>
                <w:color w:val="auto"/>
                <w:szCs w:val="22"/>
                <w:lang w:eastAsia="zh-CN"/>
              </w:rPr>
              <w:t>。</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环保</w:t>
            </w:r>
            <w:r>
              <w:rPr>
                <w:rFonts w:hint="eastAsia" w:cs="Times New Roman"/>
                <w:color w:val="auto"/>
                <w:szCs w:val="22"/>
                <w:lang w:val="en-US" w:eastAsia="zh-CN"/>
              </w:rPr>
              <w:t>/</w:t>
            </w:r>
            <w:r>
              <w:rPr>
                <w:rFonts w:hint="eastAsia" w:ascii="Times New Roman" w:hAnsi="Times New Roman" w:eastAsia="宋体" w:cs="Times New Roman"/>
                <w:color w:val="auto"/>
                <w:szCs w:val="22"/>
              </w:rPr>
              <w:t>安全目标：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 固体废弃物分类处理率100%；</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2、 潜在火灾发生率为0。</w:t>
            </w:r>
          </w:p>
          <w:p>
            <w:pPr>
              <w:spacing w:line="360" w:lineRule="auto"/>
              <w:ind w:firstLine="396" w:firstLineChars="200"/>
              <w:rPr>
                <w:rFonts w:hint="eastAsia" w:cs="Times New Roman"/>
                <w:color w:val="auto"/>
                <w:szCs w:val="22"/>
                <w:lang w:val="en-US" w:eastAsia="zh-CN"/>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目标考核表</w:t>
            </w:r>
            <w:r>
              <w:rPr>
                <w:rFonts w:hint="eastAsia" w:ascii="宋体" w:hAnsi="宋体" w:cs="Arial"/>
                <w:color w:val="auto"/>
                <w:spacing w:val="-6"/>
                <w:sz w:val="21"/>
                <w:szCs w:val="21"/>
                <w:lang w:val="en-US" w:eastAsia="zh-CN"/>
              </w:rPr>
              <w:t>”，2021年1月，显示对目标按照部门进行了分解：</w:t>
            </w:r>
          </w:p>
          <w:p>
            <w:pPr>
              <w:spacing w:line="360" w:lineRule="auto"/>
              <w:ind w:firstLine="420" w:firstLineChars="200"/>
              <w:rPr>
                <w:rFonts w:hint="eastAsia" w:cs="Times New Roman"/>
                <w:color w:val="auto"/>
                <w:szCs w:val="22"/>
                <w:lang w:val="en-US" w:eastAsia="zh-CN"/>
              </w:rPr>
            </w:pPr>
            <w:r>
              <w:rPr>
                <w:rFonts w:hint="eastAsia" w:cs="Times New Roman"/>
                <w:color w:val="auto"/>
                <w:szCs w:val="22"/>
                <w:lang w:val="en-US" w:eastAsia="zh-CN"/>
              </w:rPr>
              <w:t>发展部目标：</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 xml:space="preserve">确保有效合同履约率100%； </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 xml:space="preserve">顾客满意度≥96%； </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顾客反馈及时处理率≧95%</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交通意外伤害率为0</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固体废弃物分类处理100%；</w:t>
            </w:r>
          </w:p>
          <w:p>
            <w:pPr>
              <w:spacing w:line="360" w:lineRule="auto"/>
              <w:ind w:firstLine="420" w:firstLineChars="200"/>
              <w:rPr>
                <w:rFonts w:hint="default" w:cs="Times New Roman"/>
                <w:color w:val="auto"/>
                <w:szCs w:val="22"/>
                <w:lang w:val="en-US" w:eastAsia="zh-CN"/>
              </w:rPr>
            </w:pPr>
            <w:r>
              <w:rPr>
                <w:rFonts w:hint="default" w:cs="Times New Roman"/>
                <w:color w:val="auto"/>
                <w:szCs w:val="22"/>
                <w:lang w:val="en-US" w:eastAsia="zh-CN"/>
              </w:rPr>
              <w:t>触电事故发生率为0</w:t>
            </w:r>
            <w:r>
              <w:rPr>
                <w:rFonts w:hint="eastAsia" w:cs="Times New Roman"/>
                <w:color w:val="auto"/>
                <w:szCs w:val="22"/>
                <w:lang w:val="en-US" w:eastAsia="zh-CN"/>
              </w:rPr>
              <w:t>。</w:t>
            </w:r>
          </w:p>
          <w:p>
            <w:pPr>
              <w:spacing w:line="360" w:lineRule="auto"/>
              <w:ind w:firstLine="396" w:firstLineChars="200"/>
              <w:rPr>
                <w:rFonts w:hint="eastAsia" w:ascii="Times New Roman" w:hAnsi="Times New Roman" w:eastAsia="宋体" w:cs="Times New Roman"/>
                <w:szCs w:val="22"/>
                <w:lang w:val="en-US" w:eastAsia="zh-CN"/>
              </w:rPr>
            </w:pPr>
            <w:r>
              <w:rPr>
                <w:rFonts w:hint="eastAsia" w:ascii="宋体" w:hAnsi="宋体" w:cs="Arial"/>
                <w:color w:val="auto"/>
                <w:spacing w:val="-6"/>
                <w:sz w:val="21"/>
                <w:szCs w:val="21"/>
                <w:lang w:val="en-US" w:eastAsia="zh-CN"/>
              </w:rPr>
              <w:t>考核结果显示</w:t>
            </w:r>
            <w:r>
              <w:rPr>
                <w:rFonts w:hint="default" w:ascii="宋体" w:hAnsi="宋体" w:cs="Arial"/>
                <w:color w:val="auto"/>
                <w:spacing w:val="-6"/>
                <w:sz w:val="21"/>
                <w:szCs w:val="21"/>
                <w:lang w:val="en-US" w:eastAsia="zh-CN"/>
              </w:rPr>
              <w:t>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010" w:type="dxa"/>
          </w:tcPr>
          <w:p>
            <w:r>
              <w:rPr>
                <w:rFonts w:hint="eastAsia" w:ascii="宋体" w:hAnsi="宋体" w:cs="Arial"/>
                <w:sz w:val="21"/>
                <w:szCs w:val="21"/>
              </w:rPr>
              <w:t>产品和服务的要求</w:t>
            </w:r>
          </w:p>
        </w:tc>
        <w:tc>
          <w:tcPr>
            <w:tcW w:w="1110" w:type="dxa"/>
          </w:tcPr>
          <w:p>
            <w:r>
              <w:rPr>
                <w:rFonts w:hint="eastAsia" w:ascii="宋体" w:hAnsi="宋体" w:cs="Arial"/>
                <w:sz w:val="21"/>
                <w:szCs w:val="21"/>
                <w:lang w:val="en-US" w:eastAsia="zh-CN"/>
              </w:rPr>
              <w:t>Q:</w:t>
            </w:r>
            <w:r>
              <w:rPr>
                <w:rFonts w:hint="eastAsia" w:ascii="宋体" w:hAnsi="宋体" w:cs="Arial"/>
                <w:sz w:val="21"/>
                <w:szCs w:val="21"/>
              </w:rPr>
              <w:t>8.2</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策划有：顾客满意度控制程序、设计过程控制程序等；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提供有公司简介；</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介绍说，与顾客沟通方式主要是电话、资料传递、招投标会、交流会等形式；主要是宣传本公司有关产品及公司的有关信誉等。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针对合同洽谈、签订、履行过程中的问题，及时电话联系，明确各自的要求，执行合同。目前沟通效果良好。</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公司主要通过招标会、客户的走访、交流会等了解市场的需求状态。主要以招标文件、合同、电话等形式确定与产品有关的要求，均已保存或进行相应的记录。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spacing w:val="-6"/>
                <w:sz w:val="21"/>
                <w:szCs w:val="21"/>
                <w:lang w:val="en-US" w:eastAsia="zh-CN"/>
              </w:rPr>
              <w:t>由发展部直接对顾客要求进行识别、确认，对于存在的问题直接提出和顾客进行交流沟通。然后由主管组织人员</w:t>
            </w:r>
            <w:r>
              <w:rPr>
                <w:rFonts w:hint="eastAsia" w:ascii="宋体" w:hAnsi="宋体" w:cs="Arial"/>
                <w:color w:val="auto"/>
                <w:spacing w:val="-6"/>
                <w:sz w:val="21"/>
                <w:szCs w:val="21"/>
                <w:lang w:val="en-US" w:eastAsia="zh-CN"/>
              </w:rPr>
              <w:t>评审，经评审能满足要求后由总经理或其授权人签字并加盖企业公章，然后回传给顾客。</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查见合同档案目录，保留了签订的各项合同；抽见：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南昌悦风华项目水土保持监测及验收——2021.2，合同明确工程概况、合同组成文件、工期、服务费用、等；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上犹润达康养老配套设施项目项目建议书——2021.3，明确了项目名称、范围、规模、服务内容、文件、时间、进度和成果要求、费用等；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蔚蓝家园沿河及潦河市民公园一期景观亮化提升工程可行性研究报告及初步设计评审咨询服务——2020.10.29，合同明确服务内容、质量要求、期限、收费、违约等；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合同经过评审后加盖公章。基本符合。</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系统保留合同评审记录，流程和记录清晰，符合。</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介绍说，目前尚未发生合同更改的情况，询问对更改情况的控制较为明确清楚。</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szCs w:val="22"/>
                <w:lang w:val="en-US" w:eastAsia="zh-CN"/>
              </w:rPr>
            </w:pPr>
            <w:r>
              <w:rPr>
                <w:rFonts w:hint="default" w:ascii="宋体" w:hAnsi="宋体" w:eastAsia="宋体" w:cs="Arial"/>
                <w:spacing w:val="-6"/>
                <w:sz w:val="21"/>
                <w:szCs w:val="21"/>
                <w:lang w:val="en-US" w:eastAsia="zh-CN"/>
              </w:rPr>
              <w:t>产品要求的评审基本符合标准要求。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tcPr>
          <w:p>
            <w:r>
              <w:rPr>
                <w:rFonts w:hint="eastAsia" w:ascii="宋体" w:hAnsi="宋体" w:cs="Arial"/>
                <w:sz w:val="21"/>
                <w:szCs w:val="21"/>
              </w:rPr>
              <w:t>外部提供过程、产品和服务的控制</w:t>
            </w:r>
          </w:p>
        </w:tc>
        <w:tc>
          <w:tcPr>
            <w:tcW w:w="1110" w:type="dxa"/>
          </w:tcPr>
          <w:p>
            <w:r>
              <w:rPr>
                <w:rFonts w:hint="eastAsia" w:ascii="宋体" w:hAnsi="宋体" w:cs="Arial"/>
                <w:sz w:val="21"/>
                <w:szCs w:val="21"/>
              </w:rPr>
              <w:t>8.4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查见“供方调查评价表”，见对江西昊拓科技有限公司进行了调查评价；明确了调查内容包括相关资质、技术力量、运输条件、质量保证等方面；</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供方明确承诺安全生产、质量第一，样品检测合格。</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评审人员签名，评审结论为可列入合格供方名录。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查见“合格供方名录”，一致。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highlight w:val="none"/>
                <w:lang w:val="en-US" w:eastAsia="zh-CN"/>
              </w:rPr>
              <w:t>介绍说因为公司所需批量小，一般不签订合同，主要采取订单方式采购，查见微信中保留的订单，采购物资执行通用或者型号标准；</w:t>
            </w:r>
            <w:r>
              <w:rPr>
                <w:rFonts w:hint="eastAsia" w:ascii="宋体" w:hAnsi="宋体" w:cs="Arial"/>
                <w:color w:val="auto"/>
                <w:spacing w:val="-6"/>
                <w:sz w:val="21"/>
                <w:szCs w:val="21"/>
                <w:lang w:val="en-US" w:eastAsia="zh-CN"/>
              </w:rPr>
              <w:t>建议保留评审记录，交流；</w:t>
            </w:r>
          </w:p>
          <w:p>
            <w:pPr>
              <w:spacing w:line="360" w:lineRule="auto"/>
              <w:ind w:firstLine="396" w:firstLineChars="200"/>
              <w:rPr>
                <w:rFonts w:hint="eastAsia" w:ascii="Times New Roman" w:hAnsi="Times New Roman" w:eastAsia="宋体" w:cs="Times New Roman"/>
                <w:szCs w:val="22"/>
                <w:lang w:val="en-US" w:eastAsia="zh-CN"/>
              </w:rPr>
            </w:pPr>
            <w:r>
              <w:rPr>
                <w:rFonts w:hint="eastAsia" w:ascii="宋体" w:hAnsi="宋体" w:cs="Arial"/>
                <w:color w:val="auto"/>
                <w:spacing w:val="-6"/>
                <w:sz w:val="21"/>
                <w:szCs w:val="21"/>
                <w:lang w:val="en-US" w:eastAsia="zh-CN"/>
              </w:rPr>
              <w:t>本公司无外包过程。</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10" w:type="dxa"/>
          </w:tcPr>
          <w:p>
            <w:r>
              <w:rPr>
                <w:rFonts w:hint="eastAsia" w:ascii="宋体" w:hAnsi="宋体" w:cs="Arial"/>
                <w:sz w:val="21"/>
                <w:szCs w:val="21"/>
              </w:rPr>
              <w:t>顾客或外部供方的财产</w:t>
            </w:r>
          </w:p>
        </w:tc>
        <w:tc>
          <w:tcPr>
            <w:tcW w:w="1110" w:type="dxa"/>
          </w:tcPr>
          <w:p>
            <w:r>
              <w:rPr>
                <w:rFonts w:hint="eastAsia" w:ascii="宋体" w:hAnsi="宋体" w:cs="Arial"/>
                <w:sz w:val="21"/>
                <w:szCs w:val="21"/>
              </w:rPr>
              <w:t>8.5.3</w:t>
            </w:r>
          </w:p>
        </w:tc>
        <w:tc>
          <w:tcPr>
            <w:tcW w:w="10004" w:type="dxa"/>
          </w:tcPr>
          <w:p>
            <w:pPr>
              <w:spacing w:line="360" w:lineRule="auto"/>
              <w:ind w:firstLine="420" w:firstLineChars="200"/>
              <w:rPr>
                <w:rFonts w:hint="default"/>
                <w:szCs w:val="22"/>
                <w:lang w:val="en-US" w:eastAsia="zh-CN"/>
              </w:rPr>
            </w:pPr>
            <w:r>
              <w:rPr>
                <w:rFonts w:hint="eastAsia"/>
                <w:szCs w:val="22"/>
                <w:lang w:val="en-US" w:eastAsia="zh-CN"/>
              </w:rPr>
              <w:t>介绍说，本公司顾客财产主要是顾客信息，包含顾客要求、设计底稿等，介绍说，由设计负责人负责保管，作为公司机密严格控制不外泄。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10" w:type="dxa"/>
          </w:tcPr>
          <w:p>
            <w:pPr>
              <w:rPr>
                <w:rFonts w:hint="eastAsia" w:ascii="宋体" w:hAnsi="宋体" w:cs="Arial"/>
                <w:sz w:val="21"/>
                <w:szCs w:val="21"/>
              </w:rPr>
            </w:pPr>
            <w:r>
              <w:rPr>
                <w:rFonts w:hint="eastAsia" w:ascii="宋体" w:hAnsi="宋体" w:cs="Arial"/>
                <w:sz w:val="21"/>
                <w:szCs w:val="21"/>
              </w:rPr>
              <w:t>交付后的活动</w:t>
            </w:r>
          </w:p>
        </w:tc>
        <w:tc>
          <w:tcPr>
            <w:tcW w:w="1110" w:type="dxa"/>
          </w:tcPr>
          <w:p>
            <w:r>
              <w:rPr>
                <w:rFonts w:hint="eastAsia" w:ascii="宋体" w:hAnsi="宋体" w:cs="Arial"/>
                <w:sz w:val="21"/>
                <w:szCs w:val="21"/>
              </w:rPr>
              <w:t>8.5.5</w:t>
            </w:r>
          </w:p>
        </w:tc>
        <w:tc>
          <w:tcPr>
            <w:tcW w:w="10004" w:type="dxa"/>
          </w:tcPr>
          <w:p>
            <w:pPr>
              <w:spacing w:line="360" w:lineRule="auto"/>
              <w:ind w:firstLine="420" w:firstLineChars="200"/>
              <w:rPr>
                <w:rFonts w:hint="default"/>
                <w:szCs w:val="22"/>
                <w:lang w:val="en-US" w:eastAsia="zh-CN"/>
              </w:rPr>
            </w:pPr>
            <w:r>
              <w:rPr>
                <w:rFonts w:hint="eastAsia"/>
                <w:szCs w:val="22"/>
                <w:lang w:val="en-US" w:eastAsia="zh-CN"/>
              </w:rPr>
              <w:t>本公司的设计方案均须经顾客认同后交付，交付后如有设计变动按设计规范进行。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10" w:type="dxa"/>
          </w:tcPr>
          <w:p>
            <w:pPr>
              <w:rPr>
                <w:rFonts w:hint="eastAsia" w:ascii="宋体" w:hAnsi="宋体" w:cs="Arial"/>
                <w:sz w:val="21"/>
                <w:szCs w:val="21"/>
              </w:rPr>
            </w:pPr>
            <w:r>
              <w:rPr>
                <w:rFonts w:hint="eastAsia" w:ascii="宋体" w:hAnsi="宋体" w:cs="Arial"/>
                <w:sz w:val="21"/>
                <w:szCs w:val="21"/>
              </w:rPr>
              <w:t>顾客满意</w:t>
            </w:r>
          </w:p>
        </w:tc>
        <w:tc>
          <w:tcPr>
            <w:tcW w:w="1110" w:type="dxa"/>
          </w:tcPr>
          <w:p>
            <w:r>
              <w:rPr>
                <w:rFonts w:hint="eastAsia" w:ascii="宋体" w:hAnsi="宋体" w:cs="Arial"/>
                <w:sz w:val="21"/>
                <w:szCs w:val="21"/>
              </w:rPr>
              <w:t>9.1.2</w:t>
            </w:r>
          </w:p>
        </w:tc>
        <w:tc>
          <w:tcPr>
            <w:tcW w:w="10004" w:type="dxa"/>
          </w:tcPr>
          <w:p>
            <w:pPr>
              <w:spacing w:line="360" w:lineRule="auto"/>
              <w:ind w:firstLine="420" w:firstLineChars="200"/>
              <w:rPr>
                <w:rFonts w:hint="eastAsia"/>
                <w:szCs w:val="22"/>
                <w:lang w:val="en-US" w:eastAsia="zh-CN"/>
              </w:rPr>
            </w:pPr>
            <w:r>
              <w:rPr>
                <w:rFonts w:hint="eastAsia"/>
                <w:szCs w:val="22"/>
                <w:lang w:val="en-US" w:eastAsia="zh-CN"/>
              </w:rPr>
              <w:t>编制有：顾客满意度控制程序，有效文件；</w:t>
            </w:r>
          </w:p>
          <w:p>
            <w:pPr>
              <w:spacing w:line="360" w:lineRule="auto"/>
              <w:ind w:firstLine="420" w:firstLineChars="200"/>
              <w:rPr>
                <w:rFonts w:hint="eastAsia"/>
                <w:szCs w:val="22"/>
                <w:lang w:val="en-US" w:eastAsia="zh-CN"/>
              </w:rPr>
            </w:pPr>
            <w:r>
              <w:rPr>
                <w:rFonts w:hint="eastAsia"/>
                <w:szCs w:val="22"/>
                <w:lang w:val="en-US" w:eastAsia="zh-CN"/>
              </w:rPr>
              <w:t>查见顾客满意度调查表，2020年11月-2020年3月，对江西汇能电力工程技术有限公司、江西讯能建设工程有限公司、江西盛业粮业粮食有限公司等6家客户进行了顾客满意度调查，调查项目包括设计质量、价格比、交收期、售后服务、培训咨询及其他意见等；百分制；调查方法为电话代填写；</w:t>
            </w:r>
          </w:p>
          <w:p>
            <w:pPr>
              <w:spacing w:line="360" w:lineRule="auto"/>
              <w:ind w:firstLine="420" w:firstLineChars="200"/>
              <w:rPr>
                <w:rFonts w:hint="eastAsia"/>
                <w:szCs w:val="22"/>
                <w:lang w:val="en-US" w:eastAsia="zh-CN"/>
              </w:rPr>
            </w:pPr>
            <w:r>
              <w:rPr>
                <w:rFonts w:hint="eastAsia"/>
                <w:szCs w:val="22"/>
                <w:lang w:val="en-US" w:eastAsia="zh-CN"/>
              </w:rPr>
              <w:t>查见顾客满意度分析，2021年3月15日，顾客满意率为98%；</w:t>
            </w:r>
          </w:p>
          <w:p>
            <w:pPr>
              <w:spacing w:line="360" w:lineRule="auto"/>
              <w:ind w:firstLine="420" w:firstLineChars="200"/>
              <w:rPr>
                <w:rFonts w:hint="eastAsia"/>
                <w:szCs w:val="22"/>
                <w:lang w:val="en-US" w:eastAsia="zh-CN"/>
              </w:rPr>
            </w:pPr>
            <w:r>
              <w:rPr>
                <w:rFonts w:hint="eastAsia"/>
                <w:szCs w:val="22"/>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10" w:type="dxa"/>
          </w:tcPr>
          <w:p>
            <w:pPr>
              <w:rPr>
                <w:rFonts w:hint="default" w:ascii="宋体" w:hAnsi="宋体" w:eastAsia="宋体" w:cs="Arial"/>
                <w:sz w:val="21"/>
                <w:szCs w:val="21"/>
                <w:lang w:val="en-US" w:eastAsia="zh-CN"/>
              </w:rPr>
            </w:pPr>
            <w:r>
              <w:rPr>
                <w:rFonts w:hint="eastAsia" w:ascii="宋体" w:hAnsi="宋体" w:cs="Arial"/>
                <w:sz w:val="21"/>
                <w:szCs w:val="21"/>
              </w:rPr>
              <w:t>环境因素</w:t>
            </w:r>
            <w:r>
              <w:rPr>
                <w:rFonts w:hint="eastAsia" w:ascii="宋体" w:hAnsi="宋体" w:cs="Arial"/>
                <w:sz w:val="21"/>
                <w:szCs w:val="21"/>
                <w:lang w:val="en-US" w:eastAsia="zh-CN"/>
              </w:rPr>
              <w:t>/危险源</w:t>
            </w:r>
          </w:p>
        </w:tc>
        <w:tc>
          <w:tcPr>
            <w:tcW w:w="1110" w:type="dxa"/>
          </w:tcPr>
          <w:p>
            <w:pPr>
              <w:rPr>
                <w:rFonts w:hint="eastAsia" w:ascii="宋体" w:hAnsi="宋体" w:cs="Arial"/>
                <w:sz w:val="21"/>
                <w:szCs w:val="21"/>
              </w:rPr>
            </w:pPr>
            <w:r>
              <w:rPr>
                <w:rFonts w:hint="eastAsia" w:ascii="宋体" w:hAnsi="宋体" w:cs="Arial"/>
                <w:sz w:val="21"/>
                <w:szCs w:val="21"/>
                <w:lang w:val="en-US" w:eastAsia="zh-CN"/>
              </w:rPr>
              <w:t>ES:</w:t>
            </w:r>
            <w:r>
              <w:rPr>
                <w:rFonts w:hint="eastAsia" w:ascii="宋体" w:hAnsi="宋体" w:cs="Arial"/>
                <w:sz w:val="21"/>
                <w:szCs w:val="21"/>
              </w:rPr>
              <w:t>6.1.2</w:t>
            </w:r>
          </w:p>
        </w:tc>
        <w:tc>
          <w:tcPr>
            <w:tcW w:w="10004" w:type="dxa"/>
            <w:vAlign w:val="top"/>
          </w:tcPr>
          <w:p>
            <w:pPr>
              <w:spacing w:line="360" w:lineRule="auto"/>
              <w:ind w:firstLine="420" w:firstLineChars="200"/>
              <w:rPr>
                <w:rFonts w:hint="default"/>
                <w:szCs w:val="22"/>
                <w:lang w:val="en-US" w:eastAsia="zh-CN"/>
              </w:rPr>
            </w:pPr>
            <w:r>
              <w:rPr>
                <w:rFonts w:hint="eastAsia"/>
                <w:szCs w:val="22"/>
                <w:lang w:val="en-US" w:eastAsia="zh-CN"/>
              </w:rPr>
              <w:t>查见“环境因素辨识和评价表（办公区）”，辨识了办公、生活场所、消防、能源使用等过程中的生活垃圾的处置不当、空调冷凝水排放、废纸随意丢弃、废电池随意丢弃、纸张使用、能源消耗、办公场所吸烟、火灾、复印机打印机废墨盒处置、废弃的日光灯管、消防设备的老化、水电消耗等25项；考虑了生命周期观点；</w:t>
            </w:r>
          </w:p>
          <w:p>
            <w:pPr>
              <w:spacing w:line="360" w:lineRule="auto"/>
              <w:ind w:firstLine="420" w:firstLineChars="200"/>
              <w:rPr>
                <w:rFonts w:hint="default"/>
                <w:szCs w:val="22"/>
                <w:lang w:val="en-US" w:eastAsia="zh-CN"/>
              </w:rPr>
            </w:pPr>
            <w:r>
              <w:rPr>
                <w:rFonts w:hint="eastAsia"/>
                <w:szCs w:val="22"/>
                <w:lang w:val="en-US" w:eastAsia="zh-CN"/>
              </w:rPr>
              <w:t>打分法评价，本部门重要环境因素为火灾和触电，基本合理；</w:t>
            </w:r>
          </w:p>
          <w:p>
            <w:pPr>
              <w:spacing w:line="360" w:lineRule="auto"/>
              <w:ind w:firstLine="420" w:firstLineChars="200"/>
              <w:rPr>
                <w:rFonts w:hint="default"/>
                <w:szCs w:val="22"/>
                <w:lang w:val="en-US" w:eastAsia="zh-CN"/>
              </w:rPr>
            </w:pPr>
            <w:r>
              <w:rPr>
                <w:rFonts w:hint="eastAsia"/>
                <w:szCs w:val="22"/>
                <w:lang w:val="en-US" w:eastAsia="zh-CN"/>
              </w:rPr>
              <w:t>查见“职业安全健康管理体系危害辨识、风险评价、风险控制工作表”，辨识和评价了办公用电、吸烟、电暖气、空调使用、电热器取暖、易燃物存放区、传染性疾病、暑季工作、日光灯的使用、电开水器的使用；共计22项；</w:t>
            </w:r>
          </w:p>
          <w:p>
            <w:pPr>
              <w:spacing w:line="360" w:lineRule="auto"/>
              <w:ind w:firstLine="420" w:firstLineChars="200"/>
              <w:rPr>
                <w:rFonts w:hint="eastAsia"/>
                <w:szCs w:val="22"/>
                <w:lang w:val="en-US" w:eastAsia="zh-CN"/>
              </w:rPr>
            </w:pPr>
            <w:r>
              <w:rPr>
                <w:rFonts w:hint="eastAsia"/>
                <w:szCs w:val="22"/>
                <w:lang w:val="en-US" w:eastAsia="zh-CN"/>
              </w:rPr>
              <w:t>D=LEC法评价，查见不可接受风险清单，其中触电、潜在火灾为不可接受风险；基本合理。</w:t>
            </w:r>
          </w:p>
          <w:p>
            <w:pPr>
              <w:spacing w:line="360" w:lineRule="auto"/>
              <w:ind w:firstLine="420" w:firstLineChars="200"/>
              <w:rPr>
                <w:rFonts w:hint="default"/>
                <w:szCs w:val="22"/>
                <w:lang w:val="en-US" w:eastAsia="zh-CN"/>
              </w:rPr>
            </w:pPr>
            <w:r>
              <w:rPr>
                <w:rFonts w:hint="eastAsia"/>
                <w:szCs w:val="22"/>
                <w:lang w:val="en-US" w:eastAsia="zh-CN"/>
              </w:rPr>
              <w:t>查见目标和指标、管理方案一览表，见对潜在火灾制订了控制措施为制定操作规程、定期检查消防器材、制定应急预案、定期年检等，明确了责任部门、检查人、时间要求和资金投入计划。基本符合。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10" w:type="dxa"/>
          </w:tcPr>
          <w:p>
            <w:pPr>
              <w:rPr>
                <w:rFonts w:hint="eastAsia" w:ascii="宋体" w:hAnsi="宋体" w:cs="Arial"/>
                <w:sz w:val="21"/>
                <w:szCs w:val="21"/>
              </w:rPr>
            </w:pPr>
            <w:r>
              <w:rPr>
                <w:rFonts w:hint="eastAsia" w:ascii="宋体" w:hAnsi="宋体" w:cs="Arial"/>
                <w:sz w:val="21"/>
                <w:szCs w:val="21"/>
              </w:rPr>
              <w:t>运行策划和控制</w:t>
            </w:r>
          </w:p>
        </w:tc>
        <w:tc>
          <w:tcPr>
            <w:tcW w:w="1110" w:type="dxa"/>
          </w:tcPr>
          <w:p>
            <w:pPr>
              <w:rPr>
                <w:rFonts w:hint="eastAsia" w:ascii="宋体" w:hAnsi="宋体" w:cs="Arial"/>
                <w:sz w:val="21"/>
                <w:szCs w:val="21"/>
              </w:rPr>
            </w:pPr>
            <w:r>
              <w:rPr>
                <w:rFonts w:hint="eastAsia" w:ascii="宋体" w:hAnsi="宋体" w:cs="Arial"/>
                <w:sz w:val="21"/>
                <w:szCs w:val="21"/>
                <w:lang w:val="en-US" w:eastAsia="zh-CN"/>
              </w:rPr>
              <w:t>ES:</w:t>
            </w:r>
            <w:r>
              <w:rPr>
                <w:rFonts w:hint="eastAsia" w:ascii="宋体" w:hAnsi="宋体" w:cs="Arial"/>
                <w:sz w:val="21"/>
                <w:szCs w:val="21"/>
              </w:rPr>
              <w:t>8.1</w:t>
            </w:r>
          </w:p>
        </w:tc>
        <w:tc>
          <w:tcPr>
            <w:tcW w:w="10004" w:type="dxa"/>
            <w:vAlign w:val="top"/>
          </w:tcPr>
          <w:p>
            <w:pPr>
              <w:spacing w:line="360" w:lineRule="auto"/>
              <w:ind w:firstLine="420" w:firstLineChars="200"/>
              <w:rPr>
                <w:rFonts w:hint="default"/>
                <w:szCs w:val="22"/>
                <w:lang w:val="en-US" w:eastAsia="zh-CN"/>
              </w:rPr>
            </w:pPr>
            <w:r>
              <w:rPr>
                <w:rFonts w:hint="eastAsia"/>
                <w:szCs w:val="22"/>
                <w:lang w:val="en-US" w:eastAsia="zh-CN"/>
              </w:rPr>
              <w:t>编制有：运行控制程序、废弃物控制程序、消防控制程序、设备控制程序、资源能源控制程序、不符合、纠正和预防措施控制程序、事故调查处理控制程序等；</w:t>
            </w:r>
          </w:p>
          <w:p>
            <w:pPr>
              <w:spacing w:line="360" w:lineRule="auto"/>
              <w:ind w:firstLine="420" w:firstLineChars="200"/>
              <w:rPr>
                <w:rFonts w:hint="eastAsia"/>
                <w:szCs w:val="22"/>
                <w:lang w:val="en-US" w:eastAsia="zh-CN"/>
              </w:rPr>
            </w:pPr>
            <w:r>
              <w:rPr>
                <w:rFonts w:hint="eastAsia"/>
                <w:szCs w:val="22"/>
                <w:lang w:val="en-US" w:eastAsia="zh-CN"/>
              </w:rPr>
              <w:t>现场查见办公活动场所配置有灭火器，办公场所无乱拉乱接电线、超额使用电器现象；</w:t>
            </w:r>
          </w:p>
          <w:p>
            <w:pPr>
              <w:spacing w:line="360" w:lineRule="auto"/>
              <w:ind w:firstLine="420" w:firstLineChars="200"/>
              <w:rPr>
                <w:rFonts w:hint="eastAsia"/>
                <w:szCs w:val="22"/>
                <w:lang w:val="en-US" w:eastAsia="zh-CN"/>
              </w:rPr>
            </w:pPr>
            <w:r>
              <w:rPr>
                <w:rFonts w:hint="eastAsia"/>
                <w:szCs w:val="22"/>
                <w:lang w:val="en-US" w:eastAsia="zh-CN"/>
              </w:rPr>
              <w:t>照明适宜，配置有空调，温度舒适；办公环境整洁干净；</w:t>
            </w:r>
          </w:p>
          <w:p>
            <w:pPr>
              <w:spacing w:line="360" w:lineRule="auto"/>
              <w:ind w:firstLine="420" w:firstLineChars="200"/>
              <w:rPr>
                <w:rFonts w:hint="default"/>
                <w:szCs w:val="22"/>
                <w:lang w:val="en-US" w:eastAsia="zh-CN"/>
              </w:rPr>
            </w:pPr>
            <w:r>
              <w:rPr>
                <w:rFonts w:hint="eastAsia"/>
                <w:szCs w:val="22"/>
                <w:lang w:val="en-US" w:eastAsia="zh-CN"/>
              </w:rPr>
              <w:t>办公场所配置有消防栓、消防喷淋系统、应急通道标识、应急灯、火灾警铃等；</w:t>
            </w:r>
          </w:p>
          <w:p>
            <w:pPr>
              <w:spacing w:line="360" w:lineRule="auto"/>
              <w:ind w:firstLine="420" w:firstLineChars="200"/>
              <w:rPr>
                <w:rFonts w:hint="eastAsia"/>
                <w:szCs w:val="22"/>
                <w:lang w:val="en-US" w:eastAsia="zh-CN"/>
              </w:rPr>
            </w:pPr>
            <w:r>
              <w:rPr>
                <w:rFonts w:hint="eastAsia"/>
                <w:szCs w:val="22"/>
                <w:lang w:val="en-US" w:eastAsia="zh-CN"/>
              </w:rPr>
              <w:t>节约用水用电，纸张双面使用；</w:t>
            </w:r>
          </w:p>
          <w:p>
            <w:pPr>
              <w:spacing w:line="360" w:lineRule="auto"/>
              <w:ind w:firstLine="420" w:firstLineChars="200"/>
              <w:rPr>
                <w:rFonts w:hint="eastAsia"/>
                <w:szCs w:val="22"/>
                <w:lang w:val="en-US" w:eastAsia="zh-CN"/>
              </w:rPr>
            </w:pPr>
            <w:r>
              <w:rPr>
                <w:rFonts w:hint="eastAsia"/>
                <w:szCs w:val="22"/>
                <w:lang w:val="en-US" w:eastAsia="zh-CN"/>
              </w:rPr>
              <w:t>办公垃圾统一回收，交环卫处理；无明显噪声和异味；</w:t>
            </w:r>
          </w:p>
          <w:p>
            <w:pPr>
              <w:spacing w:line="360" w:lineRule="auto"/>
              <w:ind w:firstLine="420" w:firstLineChars="200"/>
              <w:rPr>
                <w:rFonts w:hint="eastAsia"/>
                <w:szCs w:val="22"/>
                <w:lang w:val="en-US" w:eastAsia="zh-CN"/>
              </w:rPr>
            </w:pPr>
            <w:r>
              <w:rPr>
                <w:rFonts w:hint="eastAsia"/>
                <w:szCs w:val="22"/>
                <w:lang w:val="en-US" w:eastAsia="zh-CN"/>
              </w:rPr>
              <w:t>生活废水经市政管网排放；</w:t>
            </w:r>
          </w:p>
          <w:p>
            <w:pPr>
              <w:spacing w:line="360" w:lineRule="auto"/>
              <w:ind w:firstLine="420" w:firstLineChars="200"/>
              <w:rPr>
                <w:rFonts w:hint="eastAsia"/>
                <w:szCs w:val="22"/>
                <w:lang w:val="en-US" w:eastAsia="zh-CN"/>
              </w:rPr>
            </w:pPr>
            <w:r>
              <w:rPr>
                <w:rFonts w:hint="eastAsia"/>
                <w:szCs w:val="22"/>
                <w:lang w:val="en-US" w:eastAsia="zh-CN"/>
              </w:rPr>
              <w:t>有禁烟等标识。</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10" w:type="dxa"/>
          </w:tcPr>
          <w:p>
            <w:pPr>
              <w:rPr>
                <w:rFonts w:hint="eastAsia" w:ascii="宋体" w:hAnsi="宋体" w:cs="Arial"/>
                <w:sz w:val="21"/>
                <w:szCs w:val="21"/>
              </w:rPr>
            </w:pPr>
            <w:r>
              <w:rPr>
                <w:rFonts w:hint="eastAsia" w:ascii="宋体" w:hAnsi="宋体" w:cs="Arial"/>
                <w:sz w:val="21"/>
                <w:szCs w:val="21"/>
              </w:rPr>
              <w:t>应急准备和响应</w:t>
            </w:r>
          </w:p>
        </w:tc>
        <w:tc>
          <w:tcPr>
            <w:tcW w:w="1110" w:type="dxa"/>
          </w:tcPr>
          <w:p>
            <w:pPr>
              <w:rPr>
                <w:rFonts w:hint="eastAsia" w:ascii="宋体" w:hAnsi="宋体" w:cs="Arial"/>
                <w:sz w:val="21"/>
                <w:szCs w:val="21"/>
              </w:rPr>
            </w:pPr>
            <w:r>
              <w:rPr>
                <w:rFonts w:hint="eastAsia" w:ascii="宋体" w:hAnsi="宋体" w:cs="Arial"/>
                <w:sz w:val="21"/>
                <w:szCs w:val="21"/>
                <w:lang w:val="en-US" w:eastAsia="zh-CN"/>
              </w:rPr>
              <w:t>ES:</w:t>
            </w:r>
            <w:r>
              <w:rPr>
                <w:rFonts w:hint="eastAsia" w:ascii="宋体" w:hAnsi="宋体" w:cs="Arial"/>
                <w:sz w:val="21"/>
                <w:szCs w:val="21"/>
              </w:rPr>
              <w:t>8.2</w:t>
            </w:r>
          </w:p>
        </w:tc>
        <w:tc>
          <w:tcPr>
            <w:tcW w:w="10004" w:type="dxa"/>
          </w:tcPr>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参加公司组织的演练，详见行政部审核记录。</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987F1B"/>
    <w:rsid w:val="43C35318"/>
    <w:rsid w:val="62FC5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2021-03-22T03:56:30Z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