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受审核部门：技术部</w:t>
            </w: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郭靖</w:t>
            </w: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白蕊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before="12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</w:t>
            </w:r>
            <w:r>
              <w:rPr>
                <w:rFonts w:hAnsiTheme="minorEastAsia" w:eastAsiaTheme="minorEastAsia"/>
                <w:bCs/>
                <w:szCs w:val="21"/>
              </w:rPr>
              <w:t>条款：</w:t>
            </w:r>
            <w:r>
              <w:rPr>
                <w:rFonts w:hint="eastAsia" w:ascii="宋体" w:cs="Arial"/>
                <w:sz w:val="21"/>
                <w:szCs w:val="21"/>
              </w:rPr>
              <w:t>E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cs="Arial"/>
                <w:sz w:val="21"/>
                <w:szCs w:val="21"/>
              </w:rPr>
              <w:t>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职责权限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eastAsiaTheme="minorEastAsia"/>
                <w:sz w:val="21"/>
                <w:szCs w:val="21"/>
              </w:rPr>
              <w:t>5.3</w:t>
            </w:r>
          </w:p>
        </w:tc>
        <w:tc>
          <w:tcPr>
            <w:tcW w:w="10738" w:type="dxa"/>
          </w:tcPr>
          <w:p>
            <w:r>
              <w:rPr>
                <w:rFonts w:hint="eastAsia"/>
              </w:rPr>
              <w:t>管理部职责包括：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</w:rPr>
              <w:t>1.负责公司</w:t>
            </w:r>
            <w:r>
              <w:rPr>
                <w:rFonts w:hint="eastAsia" w:ascii="宋体" w:hAnsi="宋体"/>
                <w:szCs w:val="21"/>
              </w:rPr>
              <w:t>汽车锻造件的生产加工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Cs w:val="22"/>
              </w:rPr>
              <w:t>服务工作。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</w:rPr>
              <w:t>负责对本部门环境因素、职业健康安全风险的识别和评价，并确定重要环境因素、职业健康安全风险；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rFonts w:hint="eastAsia"/>
                <w:szCs w:val="22"/>
              </w:rPr>
              <w:t>组织制定操作规程和工作标准及所需的质量记录，提出评价考核奖惩办法并组织实施；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.负责公司现场安全管理，做好文明规范服务，并对顾客财产负责；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5</w:t>
            </w:r>
            <w:r>
              <w:rPr>
                <w:rFonts w:hint="eastAsia"/>
                <w:szCs w:val="22"/>
              </w:rPr>
              <w:t>.负责检验状态标识的实施、标识及可溯性的控制；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6</w:t>
            </w:r>
            <w:r>
              <w:rPr>
                <w:rFonts w:hint="eastAsia"/>
                <w:szCs w:val="22"/>
              </w:rPr>
              <w:t>.配合公司做好</w:t>
            </w:r>
            <w:r>
              <w:rPr>
                <w:rFonts w:hint="eastAsia" w:ascii="宋体" w:hAnsi="宋体"/>
                <w:szCs w:val="21"/>
              </w:rPr>
              <w:t>汽车锻造件的生产加工</w:t>
            </w:r>
            <w:r>
              <w:rPr>
                <w:rFonts w:hint="eastAsia"/>
                <w:szCs w:val="22"/>
                <w:lang w:val="en-US" w:eastAsia="zh-CN"/>
              </w:rPr>
              <w:t>的</w:t>
            </w:r>
            <w:r>
              <w:rPr>
                <w:rFonts w:hint="eastAsia"/>
                <w:szCs w:val="22"/>
              </w:rPr>
              <w:t>验收、合格产品的纠正，预防措施的落实；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7</w:t>
            </w:r>
            <w:r>
              <w:rPr>
                <w:rFonts w:hint="eastAsia"/>
                <w:szCs w:val="22"/>
              </w:rPr>
              <w:t>.收集、整理和保管本部门的记录、对相关的数据收集传递和交流。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包括以上职责在内的具体内容在公司《管理手册》中描述。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岗位职责在公司《岗位任职要求》中明确规定，通过文件下发和传达等方式在公司内部贯彻和沟通。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查阅岗位职责文件对各岗位职责作了明确规定,查文件内容包括与岗位活动有关的、环境和职业健康安全职责要求。 </w:t>
            </w:r>
          </w:p>
          <w:p>
            <w:pPr>
              <w:spacing w:line="360" w:lineRule="auto"/>
              <w:ind w:firstLine="42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Cs w:val="22"/>
              </w:rPr>
              <w:t>经现场询问</w:t>
            </w:r>
            <w:r>
              <w:rPr>
                <w:rFonts w:hint="eastAsia"/>
                <w:szCs w:val="22"/>
                <w:lang w:val="en-US" w:eastAsia="zh-CN"/>
              </w:rPr>
              <w:t>负责人</w:t>
            </w:r>
            <w:r>
              <w:rPr>
                <w:rFonts w:hint="eastAsia"/>
                <w:szCs w:val="22"/>
              </w:rPr>
              <w:t>的回答与文件规定一致。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eastAsiaTheme="minorEastAsia"/>
                <w:sz w:val="21"/>
                <w:szCs w:val="21"/>
              </w:rPr>
              <w:t>6.2</w:t>
            </w:r>
          </w:p>
          <w:p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738" w:type="dxa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执行《管理手册》及《方针目标管理制度》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 xml:space="preserve">部门目标：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 xml:space="preserve"> 考核情况</w:t>
            </w:r>
          </w:p>
          <w:p>
            <w:pPr>
              <w:pStyle w:val="1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环境污染事故为零；</w:t>
            </w:r>
            <w:r>
              <w:rPr>
                <w:rFonts w:hint="eastAsia"/>
                <w:lang w:val="en-US" w:eastAsia="zh-CN"/>
              </w:rPr>
              <w:t xml:space="preserve">                     0</w:t>
            </w:r>
          </w:p>
          <w:p>
            <w:pPr>
              <w:pStyle w:val="19"/>
              <w:rPr>
                <w:rFonts w:hint="eastAsia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安全事故为零。</w:t>
            </w:r>
            <w:r>
              <w:rPr>
                <w:rFonts w:hint="eastAsia"/>
                <w:spacing w:val="0"/>
                <w:kern w:val="2"/>
                <w:sz w:val="24"/>
                <w:szCs w:val="22"/>
                <w:lang w:val="en-US" w:eastAsia="zh-CN" w:bidi="ar-SA"/>
              </w:rPr>
              <w:t xml:space="preserve">                          0</w:t>
            </w:r>
          </w:p>
          <w:p>
            <w:pPr>
              <w:pStyle w:val="19"/>
              <w:rPr>
                <w:rFonts w:hint="default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pacing w:val="0"/>
                <w:kern w:val="2"/>
                <w:sz w:val="24"/>
                <w:szCs w:val="22"/>
                <w:lang w:val="en-US" w:eastAsia="zh-CN" w:bidi="ar-SA"/>
              </w:rPr>
              <w:t>火灾事故为0                            0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环境和职业健康安全体系建立了管理方案，查管理方案表：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1、办公用硒鼓、墨盒等固废等原材料废弃物等分类收集保管，交由相应部门处置；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2、杜绝火灾发生，制定了管理方案并严格执行，配备必要的防火设施（包括灭火器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>、消防栓等）并保证其完好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b</w:t>
            </w:r>
            <w:r>
              <w:rPr>
                <w:rFonts w:hint="eastAsia" w:ascii="宋体" w:hAnsi="宋体" w:cs="宋体"/>
                <w:szCs w:val="21"/>
              </w:rPr>
              <w:t>. 成立应急响应工作小组（见《应急预案》）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c</w:t>
            </w:r>
            <w:r>
              <w:rPr>
                <w:rFonts w:hint="eastAsia" w:ascii="宋体" w:hAnsi="宋体" w:cs="宋体"/>
                <w:szCs w:val="21"/>
              </w:rPr>
              <w:t>. 淘汰过期、报废设备,对灭火器更新；每年进行一次消防演习。执行部门：各部门，检查人：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白蕊 </w:t>
            </w:r>
            <w:r>
              <w:rPr>
                <w:rFonts w:hint="eastAsia" w:ascii="宋体" w:hAnsi="宋体" w:cs="宋体"/>
                <w:szCs w:val="21"/>
              </w:rPr>
              <w:t>，责任部门：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，执行日期：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20年12月</w:t>
            </w:r>
            <w:r>
              <w:rPr>
                <w:rFonts w:hint="eastAsia"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21-年3月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3、电线老化引发火灾、临时接电触电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管理方案：</w:t>
            </w:r>
            <w:r>
              <w:rPr>
                <w:rFonts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</w:rPr>
              <w:t xml:space="preserve">、电线检修  </w:t>
            </w:r>
            <w:r>
              <w:rPr>
                <w:rFonts w:ascii="宋体" w:hAnsi="宋体" w:cs="宋体"/>
                <w:szCs w:val="21"/>
              </w:rPr>
              <w:t>b</w:t>
            </w:r>
            <w:r>
              <w:rPr>
                <w:rFonts w:hint="eastAsia" w:ascii="宋体" w:hAnsi="宋体" w:cs="宋体"/>
                <w:szCs w:val="21"/>
              </w:rPr>
              <w:t>、对职工进行安全教育培训。执行部门：各部门，责任人：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白蕊 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执行日期：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20年12月</w:t>
            </w:r>
            <w:r>
              <w:rPr>
                <w:rFonts w:hint="eastAsia"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21年3月。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上述目标、指标2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年第一季度进行考核，考核结果：全部达标，检查人：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白蕊 </w:t>
            </w:r>
            <w:r>
              <w:rPr>
                <w:rFonts w:hint="eastAsia" w:ascii="宋体" w:hAnsi="宋体" w:cs="宋体"/>
                <w:szCs w:val="21"/>
              </w:rPr>
              <w:t>。制定的指标和管理方案基本可行。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环境因素、危险源识别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  <w:p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738" w:type="dxa"/>
          </w:tcPr>
          <w:p>
            <w:pPr>
              <w:snapToGrid w:val="0"/>
              <w:spacing w:line="24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提供了《环境因素和危险源识别评价与控制程序》，对环境因素、危险源的识别、评价结果、控制手段等做出了规定。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现场提供了《环境因素识别与评价表》，从生命周期观点，三种时态、三种状态、八个方面来识别，识别了办公过程的废纸随意丢弃污染环境、复印机打印机废墨盒处置污染环境、生活垃圾的处置不当污染环境、废电池随意丢弃污染环境、吸烟污染空气等,识别基本齐全。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采用评分标准以打分的方式评价重要环境因素，评价出的重要环境因素为：潜在火灾、固废排放等。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控制措施：固废分类存放、垃圾等由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AnsiTheme="minorEastAsia" w:eastAsiaTheme="minorEastAsia"/>
                <w:sz w:val="21"/>
                <w:szCs w:val="21"/>
              </w:rPr>
              <w:t>部负责按规定处置，包装物分类卖掉，日常检查、培训教育，配备有消防器材、制定应急预案等措施。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提供《职业安全健康管理体系危害辨识、风险评价、风险控制工作表》对部门开发、系统集成、办公活动各过程分别进行辨识，考虑了电脑辐射、触电、意外伤害、火灾等方面；工程部识别的各区域危险源有：电脑辐射、触电、意外伤害、火灾等。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不可接受风险识别有：火灾、触电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意外伤害。</w:t>
            </w:r>
          </w:p>
          <w:p>
            <w:pPr>
              <w:tabs>
                <w:tab w:val="left" w:pos="6597"/>
              </w:tabs>
              <w:spacing w:line="24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auto"/>
              <w:ind w:firstLine="42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危险源识别经核实基本齐全，重大危险源评价基本合理。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hAnsiTheme="minorEastAsia" w:eastAsiaTheme="minorEastAsia"/>
                <w:bCs/>
                <w:sz w:val="21"/>
                <w:szCs w:val="21"/>
              </w:rPr>
              <w:t>运行的策划和控制</w:t>
            </w:r>
          </w:p>
          <w:p>
            <w:pPr>
              <w:spacing w:line="360" w:lineRule="auto"/>
              <w:rPr>
                <w:rFonts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pacing w:val="-1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Theme="minorEastAsia"/>
                <w:spacing w:val="-10"/>
                <w:sz w:val="21"/>
                <w:szCs w:val="21"/>
              </w:rPr>
            </w:pPr>
            <w:r>
              <w:rPr>
                <w:rFonts w:eastAsiaTheme="minorEastAsia"/>
                <w:spacing w:val="-10"/>
                <w:sz w:val="21"/>
                <w:szCs w:val="21"/>
              </w:rPr>
              <w:t>EO8.1</w:t>
            </w:r>
          </w:p>
        </w:tc>
        <w:tc>
          <w:tcPr>
            <w:tcW w:w="10738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环境和职业健康安全管理体系方面：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编制与环境、安全体系运行控制有关的文件有《管理运行控制程序》、《节约用水管理规定》、《垃圾管理规定》、《消防控制程序》《电工操作规程》、《应急预案》等。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（1）废水管控：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公司从事的主要是</w:t>
            </w:r>
            <w:r>
              <w:rPr>
                <w:rFonts w:hint="eastAsia" w:ascii="宋体" w:hAnsi="宋体"/>
                <w:sz w:val="21"/>
                <w:szCs w:val="21"/>
              </w:rPr>
              <w:t>汽车锻造件的生产加工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按照“雨污分流”原则建设扩建厂区排水系统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。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生产废水依托现厂区废水处理站处理；生活污水进入化粪池处理，出水确保达到《污水综合排放标准》GB8978-1996表4三级标准后，排入市政污水管网，最终进入神定河污水处理厂处理。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（2）噪声管控：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严格噪声污染防治措施，选用低噪声设备，合理布局车间内的高噪声设备，并采取减震、隔声等降噪措施，确保厂界噪声达标排放。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（3）固废管控：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主要是办公固废的排放。技术部将墨盒硒鼓等办公危废交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部统一处理一般是交供应商回收，其他固废及生活垃圾放在门口垃圾桶由物业部门统一处理。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（4）能源资源管控：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开发设计过程、调试安装过程和办公过程注意节水、节电，人走关闭设备和照明开关，现场未发现有漏水和浪费电能的现象。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（5）产品生命周期的环境管控：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公司从工艺设计时考虑了产品的环保性，研发及调试安装过程中，严格按照环保等管理制度实施，控制好材料的用量，避免浪费，尽量考虑生命周期终了时还可以回收再利用。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（6）潜在火灾管控：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公司配备了消防设施（灭火器）。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（7）安全防护：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主要是防止触电，办公时注意防护，加强日常检查和培训教育。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（8）能提供防止员工意外伤害加重的急救药品如创可贴、杀菌药水等。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（9）为主要长期员工上社保，查见交款证明。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（10）员工饮用水为纯净水通过饮水机饮用。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（11）现场运行控制：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公司从事的主要是</w:t>
            </w:r>
            <w:r>
              <w:rPr>
                <w:rFonts w:hint="eastAsia" w:ascii="宋体" w:hAnsi="宋体"/>
                <w:sz w:val="21"/>
                <w:szCs w:val="21"/>
              </w:rPr>
              <w:t>汽车锻造件的生产加工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现场查看各技术人员坐姿正确避免过度疲劳。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电脑显示器调整到保护视力的颜色。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办公区内现场电线布线合理，电线均处于完好状态，有接地及保护装置，漏电保护器状态良好。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现场有分类存放的垃圾桶。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现场配备有灭火器，均有效。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现场在环保和职业健康安全防护方面的控制管理基本有效。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E</w:t>
            </w:r>
            <w:r>
              <w:rPr>
                <w:rFonts w:hint="eastAsia" w:eastAsiaTheme="minorEastAsia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eastAsiaTheme="minorEastAsia"/>
                <w:bCs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eastAsiaTheme="min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Theme="minorEastAsia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Theme="minorEastAsia"/>
                <w:bCs/>
                <w:sz w:val="21"/>
                <w:szCs w:val="21"/>
              </w:rPr>
            </w:pPr>
          </w:p>
        </w:tc>
        <w:tc>
          <w:tcPr>
            <w:tcW w:w="10738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编制了《应急准备和响应控制程序》，确定的紧急情况有：火灾、触电等。建立了火灾、触电、疫情防控等应急预案，由行政部组织演练。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查看了触电应急预案演习记录，演练时间  2020年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default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负责人：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郭华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参加人：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部、生产部、技术部等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1、组织指挥有序，项目岗位配合较好，达到了预定目标，演练的效果较好。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2、人员的速度较快，及时按照预定方案对事故处理人员进行保护。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3、各参训人员着装整齐，装备佩戴完整，精神饱满。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4、处理事故得当，速度较快，分工明确，能各负其责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演练达到了目的。有效。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查2020.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.1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日火灾应急预案演习记录，情况同上。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针对近期出现的新型冠状病毒引发的肺炎疫情，公司制定了疫情防控预案，公司有进行返岗人员健康报备管理、每日人员出入登记/量体温/戴口罩、是否发热、等，严格按政府和预案的要求执行。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符合</w:t>
            </w:r>
            <w:bookmarkStart w:id="0" w:name="_GoBack"/>
            <w:bookmarkEnd w:id="0"/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pStyle w:val="7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087"/>
    <w:rsid w:val="00004322"/>
    <w:rsid w:val="000066B8"/>
    <w:rsid w:val="00014BB0"/>
    <w:rsid w:val="000208FF"/>
    <w:rsid w:val="0002108F"/>
    <w:rsid w:val="000214B6"/>
    <w:rsid w:val="00022B3B"/>
    <w:rsid w:val="0002734A"/>
    <w:rsid w:val="0003373A"/>
    <w:rsid w:val="00047171"/>
    <w:rsid w:val="0004784D"/>
    <w:rsid w:val="0005199E"/>
    <w:rsid w:val="000521D9"/>
    <w:rsid w:val="00053144"/>
    <w:rsid w:val="0005467A"/>
    <w:rsid w:val="00054FDA"/>
    <w:rsid w:val="0005697E"/>
    <w:rsid w:val="000604E9"/>
    <w:rsid w:val="00064733"/>
    <w:rsid w:val="00065DBA"/>
    <w:rsid w:val="00067211"/>
    <w:rsid w:val="0007028F"/>
    <w:rsid w:val="00070C74"/>
    <w:rsid w:val="00077664"/>
    <w:rsid w:val="00083DA5"/>
    <w:rsid w:val="000847C2"/>
    <w:rsid w:val="000849D2"/>
    <w:rsid w:val="000865BA"/>
    <w:rsid w:val="00093496"/>
    <w:rsid w:val="000A2B99"/>
    <w:rsid w:val="000A5E44"/>
    <w:rsid w:val="000B1394"/>
    <w:rsid w:val="000B2395"/>
    <w:rsid w:val="000B2962"/>
    <w:rsid w:val="000B40BD"/>
    <w:rsid w:val="000C0680"/>
    <w:rsid w:val="000C123B"/>
    <w:rsid w:val="000C2F50"/>
    <w:rsid w:val="000D108C"/>
    <w:rsid w:val="000D1AAF"/>
    <w:rsid w:val="000D48BC"/>
    <w:rsid w:val="000D5E06"/>
    <w:rsid w:val="000E14F8"/>
    <w:rsid w:val="000E2B69"/>
    <w:rsid w:val="000E4607"/>
    <w:rsid w:val="000E79D8"/>
    <w:rsid w:val="000F2339"/>
    <w:rsid w:val="000F2FA7"/>
    <w:rsid w:val="000F35F1"/>
    <w:rsid w:val="000F7C31"/>
    <w:rsid w:val="001012F4"/>
    <w:rsid w:val="001037D5"/>
    <w:rsid w:val="00107877"/>
    <w:rsid w:val="001105B5"/>
    <w:rsid w:val="00112DDC"/>
    <w:rsid w:val="00122E35"/>
    <w:rsid w:val="00124422"/>
    <w:rsid w:val="00124B12"/>
    <w:rsid w:val="00130839"/>
    <w:rsid w:val="001324E4"/>
    <w:rsid w:val="00134C43"/>
    <w:rsid w:val="001421D7"/>
    <w:rsid w:val="00152F43"/>
    <w:rsid w:val="00155DE4"/>
    <w:rsid w:val="00160355"/>
    <w:rsid w:val="00160590"/>
    <w:rsid w:val="00160D1B"/>
    <w:rsid w:val="001657FA"/>
    <w:rsid w:val="00167262"/>
    <w:rsid w:val="001730FA"/>
    <w:rsid w:val="00173465"/>
    <w:rsid w:val="001741F3"/>
    <w:rsid w:val="00174B4C"/>
    <w:rsid w:val="00176F07"/>
    <w:rsid w:val="001816F4"/>
    <w:rsid w:val="00184AC7"/>
    <w:rsid w:val="001858CC"/>
    <w:rsid w:val="00191CB7"/>
    <w:rsid w:val="001953AA"/>
    <w:rsid w:val="001965EC"/>
    <w:rsid w:val="001A1569"/>
    <w:rsid w:val="001A2C67"/>
    <w:rsid w:val="001A2D7F"/>
    <w:rsid w:val="001A3DF8"/>
    <w:rsid w:val="001A4705"/>
    <w:rsid w:val="001A77A1"/>
    <w:rsid w:val="001B0A84"/>
    <w:rsid w:val="001B52CD"/>
    <w:rsid w:val="001C3093"/>
    <w:rsid w:val="001C414C"/>
    <w:rsid w:val="001D2C44"/>
    <w:rsid w:val="001D3DCD"/>
    <w:rsid w:val="001D6247"/>
    <w:rsid w:val="001E2378"/>
    <w:rsid w:val="001E421F"/>
    <w:rsid w:val="001E47B6"/>
    <w:rsid w:val="001F5CB1"/>
    <w:rsid w:val="0020346E"/>
    <w:rsid w:val="002037A4"/>
    <w:rsid w:val="00210A0C"/>
    <w:rsid w:val="00212CA6"/>
    <w:rsid w:val="00216789"/>
    <w:rsid w:val="002178DD"/>
    <w:rsid w:val="00221981"/>
    <w:rsid w:val="00222532"/>
    <w:rsid w:val="00224159"/>
    <w:rsid w:val="00224FEC"/>
    <w:rsid w:val="00226265"/>
    <w:rsid w:val="002276C2"/>
    <w:rsid w:val="00230A99"/>
    <w:rsid w:val="00232D91"/>
    <w:rsid w:val="00237445"/>
    <w:rsid w:val="0024106A"/>
    <w:rsid w:val="0024338C"/>
    <w:rsid w:val="00243C4B"/>
    <w:rsid w:val="00244D31"/>
    <w:rsid w:val="00245C6E"/>
    <w:rsid w:val="00250259"/>
    <w:rsid w:val="00252A58"/>
    <w:rsid w:val="00260187"/>
    <w:rsid w:val="002603B9"/>
    <w:rsid w:val="00261E31"/>
    <w:rsid w:val="00262726"/>
    <w:rsid w:val="00266D1E"/>
    <w:rsid w:val="0027207F"/>
    <w:rsid w:val="0027380C"/>
    <w:rsid w:val="00275F63"/>
    <w:rsid w:val="0027770D"/>
    <w:rsid w:val="002906B5"/>
    <w:rsid w:val="00291E49"/>
    <w:rsid w:val="0029267C"/>
    <w:rsid w:val="0029508B"/>
    <w:rsid w:val="002962A3"/>
    <w:rsid w:val="002A0E6E"/>
    <w:rsid w:val="002A16D5"/>
    <w:rsid w:val="002B06F9"/>
    <w:rsid w:val="002B3D51"/>
    <w:rsid w:val="002B5942"/>
    <w:rsid w:val="002B698C"/>
    <w:rsid w:val="002C1094"/>
    <w:rsid w:val="002C221B"/>
    <w:rsid w:val="002C2997"/>
    <w:rsid w:val="002C3E0D"/>
    <w:rsid w:val="002D0420"/>
    <w:rsid w:val="002D0595"/>
    <w:rsid w:val="002D2644"/>
    <w:rsid w:val="002D41FB"/>
    <w:rsid w:val="002E1E1D"/>
    <w:rsid w:val="002E449B"/>
    <w:rsid w:val="00300103"/>
    <w:rsid w:val="00303CA9"/>
    <w:rsid w:val="00305AF4"/>
    <w:rsid w:val="00305CB7"/>
    <w:rsid w:val="00305F8E"/>
    <w:rsid w:val="003063F2"/>
    <w:rsid w:val="0031010A"/>
    <w:rsid w:val="003139A6"/>
    <w:rsid w:val="00324FCB"/>
    <w:rsid w:val="00326B50"/>
    <w:rsid w:val="003301B9"/>
    <w:rsid w:val="00330719"/>
    <w:rsid w:val="00332ECE"/>
    <w:rsid w:val="00333BB0"/>
    <w:rsid w:val="00334C7D"/>
    <w:rsid w:val="00335991"/>
    <w:rsid w:val="00335EEB"/>
    <w:rsid w:val="003364FC"/>
    <w:rsid w:val="00337679"/>
    <w:rsid w:val="00337922"/>
    <w:rsid w:val="00337B1A"/>
    <w:rsid w:val="00340867"/>
    <w:rsid w:val="00341CCD"/>
    <w:rsid w:val="003424C9"/>
    <w:rsid w:val="00342857"/>
    <w:rsid w:val="00343742"/>
    <w:rsid w:val="00347038"/>
    <w:rsid w:val="003471D1"/>
    <w:rsid w:val="00356840"/>
    <w:rsid w:val="00361028"/>
    <w:rsid w:val="00362325"/>
    <w:rsid w:val="003627B6"/>
    <w:rsid w:val="00362BE6"/>
    <w:rsid w:val="00362ED9"/>
    <w:rsid w:val="003666D8"/>
    <w:rsid w:val="003708D5"/>
    <w:rsid w:val="003712C7"/>
    <w:rsid w:val="003715B9"/>
    <w:rsid w:val="0037306C"/>
    <w:rsid w:val="00374046"/>
    <w:rsid w:val="00376A47"/>
    <w:rsid w:val="003803F1"/>
    <w:rsid w:val="00380837"/>
    <w:rsid w:val="00381010"/>
    <w:rsid w:val="00382136"/>
    <w:rsid w:val="003836CA"/>
    <w:rsid w:val="0038425B"/>
    <w:rsid w:val="003849C2"/>
    <w:rsid w:val="00386A98"/>
    <w:rsid w:val="003872BE"/>
    <w:rsid w:val="003960CD"/>
    <w:rsid w:val="00396B29"/>
    <w:rsid w:val="003A0A39"/>
    <w:rsid w:val="003A20B3"/>
    <w:rsid w:val="003A432E"/>
    <w:rsid w:val="003A5110"/>
    <w:rsid w:val="003A7DC8"/>
    <w:rsid w:val="003B10EF"/>
    <w:rsid w:val="003B2BCD"/>
    <w:rsid w:val="003B577D"/>
    <w:rsid w:val="003B69F5"/>
    <w:rsid w:val="003C524D"/>
    <w:rsid w:val="003C7E59"/>
    <w:rsid w:val="003C7F1E"/>
    <w:rsid w:val="003D133B"/>
    <w:rsid w:val="003D2DF6"/>
    <w:rsid w:val="003D3B9E"/>
    <w:rsid w:val="003D5AFB"/>
    <w:rsid w:val="003D6BE3"/>
    <w:rsid w:val="003E64D0"/>
    <w:rsid w:val="003F20A5"/>
    <w:rsid w:val="003F3796"/>
    <w:rsid w:val="003F5ED7"/>
    <w:rsid w:val="004009D6"/>
    <w:rsid w:val="004012B5"/>
    <w:rsid w:val="00403752"/>
    <w:rsid w:val="00405D5F"/>
    <w:rsid w:val="004069DE"/>
    <w:rsid w:val="00407008"/>
    <w:rsid w:val="00410914"/>
    <w:rsid w:val="004116F7"/>
    <w:rsid w:val="00422E32"/>
    <w:rsid w:val="00430003"/>
    <w:rsid w:val="004304FA"/>
    <w:rsid w:val="00431734"/>
    <w:rsid w:val="0043494E"/>
    <w:rsid w:val="004375F1"/>
    <w:rsid w:val="0043786F"/>
    <w:rsid w:val="004378D6"/>
    <w:rsid w:val="00441C5F"/>
    <w:rsid w:val="00451D10"/>
    <w:rsid w:val="00455313"/>
    <w:rsid w:val="00465FE1"/>
    <w:rsid w:val="00467E3D"/>
    <w:rsid w:val="004724F4"/>
    <w:rsid w:val="0047779F"/>
    <w:rsid w:val="00482E44"/>
    <w:rsid w:val="00485574"/>
    <w:rsid w:val="00490AA2"/>
    <w:rsid w:val="00491735"/>
    <w:rsid w:val="0049280D"/>
    <w:rsid w:val="0049365D"/>
    <w:rsid w:val="004943B5"/>
    <w:rsid w:val="0049488A"/>
    <w:rsid w:val="00495688"/>
    <w:rsid w:val="004A39E1"/>
    <w:rsid w:val="004A4776"/>
    <w:rsid w:val="004B0102"/>
    <w:rsid w:val="004B11D8"/>
    <w:rsid w:val="004B217F"/>
    <w:rsid w:val="004B28AC"/>
    <w:rsid w:val="004C027B"/>
    <w:rsid w:val="004C07FE"/>
    <w:rsid w:val="004C2EEF"/>
    <w:rsid w:val="004C4609"/>
    <w:rsid w:val="004C695C"/>
    <w:rsid w:val="004D0624"/>
    <w:rsid w:val="004D1394"/>
    <w:rsid w:val="004E039B"/>
    <w:rsid w:val="004E0DBF"/>
    <w:rsid w:val="004E56D3"/>
    <w:rsid w:val="004E5D23"/>
    <w:rsid w:val="004E7414"/>
    <w:rsid w:val="004F008A"/>
    <w:rsid w:val="004F11C7"/>
    <w:rsid w:val="004F12EB"/>
    <w:rsid w:val="004F1C93"/>
    <w:rsid w:val="004F4590"/>
    <w:rsid w:val="004F5EA0"/>
    <w:rsid w:val="005023C9"/>
    <w:rsid w:val="00505D04"/>
    <w:rsid w:val="00507BA0"/>
    <w:rsid w:val="005126CB"/>
    <w:rsid w:val="00513583"/>
    <w:rsid w:val="005137A3"/>
    <w:rsid w:val="00517783"/>
    <w:rsid w:val="00521CF0"/>
    <w:rsid w:val="00526991"/>
    <w:rsid w:val="00526C3C"/>
    <w:rsid w:val="00527195"/>
    <w:rsid w:val="005276EC"/>
    <w:rsid w:val="00527995"/>
    <w:rsid w:val="00527E23"/>
    <w:rsid w:val="00527ECD"/>
    <w:rsid w:val="00536930"/>
    <w:rsid w:val="00543CA4"/>
    <w:rsid w:val="0054446E"/>
    <w:rsid w:val="0054776F"/>
    <w:rsid w:val="00556EBF"/>
    <w:rsid w:val="00564E53"/>
    <w:rsid w:val="00564FC3"/>
    <w:rsid w:val="00574EE4"/>
    <w:rsid w:val="005770D7"/>
    <w:rsid w:val="00577D5E"/>
    <w:rsid w:val="00583277"/>
    <w:rsid w:val="00583C54"/>
    <w:rsid w:val="005866E2"/>
    <w:rsid w:val="00587F11"/>
    <w:rsid w:val="0059097E"/>
    <w:rsid w:val="005919A2"/>
    <w:rsid w:val="00592180"/>
    <w:rsid w:val="00592C3E"/>
    <w:rsid w:val="005935CA"/>
    <w:rsid w:val="00594BD7"/>
    <w:rsid w:val="00595C05"/>
    <w:rsid w:val="00595C56"/>
    <w:rsid w:val="005A000F"/>
    <w:rsid w:val="005A5A31"/>
    <w:rsid w:val="005B01D8"/>
    <w:rsid w:val="005B1C3E"/>
    <w:rsid w:val="005B6888"/>
    <w:rsid w:val="005C0BC9"/>
    <w:rsid w:val="005C27D9"/>
    <w:rsid w:val="005D01FC"/>
    <w:rsid w:val="005D4C40"/>
    <w:rsid w:val="005D657C"/>
    <w:rsid w:val="005E1E25"/>
    <w:rsid w:val="005E3B26"/>
    <w:rsid w:val="005E794C"/>
    <w:rsid w:val="005F0E92"/>
    <w:rsid w:val="005F3F2C"/>
    <w:rsid w:val="005F4A09"/>
    <w:rsid w:val="005F4CDA"/>
    <w:rsid w:val="005F685F"/>
    <w:rsid w:val="005F6C65"/>
    <w:rsid w:val="005F7148"/>
    <w:rsid w:val="005F7D4A"/>
    <w:rsid w:val="00600F02"/>
    <w:rsid w:val="0060444D"/>
    <w:rsid w:val="006052B6"/>
    <w:rsid w:val="00612015"/>
    <w:rsid w:val="00612BD7"/>
    <w:rsid w:val="006148DF"/>
    <w:rsid w:val="0061746B"/>
    <w:rsid w:val="006233A5"/>
    <w:rsid w:val="00623FE9"/>
    <w:rsid w:val="006302F5"/>
    <w:rsid w:val="00631206"/>
    <w:rsid w:val="006379CB"/>
    <w:rsid w:val="00642663"/>
    <w:rsid w:val="006426A9"/>
    <w:rsid w:val="00642776"/>
    <w:rsid w:val="00644FE2"/>
    <w:rsid w:val="006457AD"/>
    <w:rsid w:val="00645FB8"/>
    <w:rsid w:val="00647894"/>
    <w:rsid w:val="00651986"/>
    <w:rsid w:val="006545E8"/>
    <w:rsid w:val="00655FA1"/>
    <w:rsid w:val="00665980"/>
    <w:rsid w:val="00671A9B"/>
    <w:rsid w:val="00673927"/>
    <w:rsid w:val="0067640C"/>
    <w:rsid w:val="00686B64"/>
    <w:rsid w:val="0069039B"/>
    <w:rsid w:val="00692405"/>
    <w:rsid w:val="006946D4"/>
    <w:rsid w:val="00695256"/>
    <w:rsid w:val="00695303"/>
    <w:rsid w:val="00695570"/>
    <w:rsid w:val="00695E04"/>
    <w:rsid w:val="00696AF1"/>
    <w:rsid w:val="006A0FEF"/>
    <w:rsid w:val="006A25CF"/>
    <w:rsid w:val="006A3B31"/>
    <w:rsid w:val="006A57FE"/>
    <w:rsid w:val="006A68F3"/>
    <w:rsid w:val="006A71E1"/>
    <w:rsid w:val="006B4116"/>
    <w:rsid w:val="006B4127"/>
    <w:rsid w:val="006B43DD"/>
    <w:rsid w:val="006B6F42"/>
    <w:rsid w:val="006B753E"/>
    <w:rsid w:val="006C05AD"/>
    <w:rsid w:val="006C0D0C"/>
    <w:rsid w:val="006C12CF"/>
    <w:rsid w:val="006C1E32"/>
    <w:rsid w:val="006C35B3"/>
    <w:rsid w:val="006C3EDA"/>
    <w:rsid w:val="006C40B9"/>
    <w:rsid w:val="006C4DC3"/>
    <w:rsid w:val="006C7301"/>
    <w:rsid w:val="006D01D3"/>
    <w:rsid w:val="006D3922"/>
    <w:rsid w:val="006D5592"/>
    <w:rsid w:val="006D6514"/>
    <w:rsid w:val="006D75E6"/>
    <w:rsid w:val="006E678B"/>
    <w:rsid w:val="006E798E"/>
    <w:rsid w:val="006F2512"/>
    <w:rsid w:val="006F6902"/>
    <w:rsid w:val="0070133F"/>
    <w:rsid w:val="00703579"/>
    <w:rsid w:val="00703EF0"/>
    <w:rsid w:val="0070495A"/>
    <w:rsid w:val="00704E02"/>
    <w:rsid w:val="00711F4C"/>
    <w:rsid w:val="0071239D"/>
    <w:rsid w:val="00716C45"/>
    <w:rsid w:val="007170AA"/>
    <w:rsid w:val="00721DE7"/>
    <w:rsid w:val="00722762"/>
    <w:rsid w:val="0072289B"/>
    <w:rsid w:val="00722A8E"/>
    <w:rsid w:val="0072354E"/>
    <w:rsid w:val="00725B27"/>
    <w:rsid w:val="00726A53"/>
    <w:rsid w:val="00727647"/>
    <w:rsid w:val="00727FEE"/>
    <w:rsid w:val="00730B8F"/>
    <w:rsid w:val="00732A46"/>
    <w:rsid w:val="00732B66"/>
    <w:rsid w:val="00734C50"/>
    <w:rsid w:val="00737195"/>
    <w:rsid w:val="007406DE"/>
    <w:rsid w:val="007415BA"/>
    <w:rsid w:val="00742AEF"/>
    <w:rsid w:val="00743A75"/>
    <w:rsid w:val="00743E79"/>
    <w:rsid w:val="00747CEC"/>
    <w:rsid w:val="00750187"/>
    <w:rsid w:val="00751C37"/>
    <w:rsid w:val="00753327"/>
    <w:rsid w:val="00753493"/>
    <w:rsid w:val="00754FF4"/>
    <w:rsid w:val="00762DD4"/>
    <w:rsid w:val="0076572D"/>
    <w:rsid w:val="00774111"/>
    <w:rsid w:val="0077458C"/>
    <w:rsid w:val="007757F3"/>
    <w:rsid w:val="007770CF"/>
    <w:rsid w:val="007815DC"/>
    <w:rsid w:val="00782659"/>
    <w:rsid w:val="0078511E"/>
    <w:rsid w:val="007924AF"/>
    <w:rsid w:val="007946BA"/>
    <w:rsid w:val="007946CE"/>
    <w:rsid w:val="007A256F"/>
    <w:rsid w:val="007A3326"/>
    <w:rsid w:val="007A47FB"/>
    <w:rsid w:val="007A69EB"/>
    <w:rsid w:val="007B106B"/>
    <w:rsid w:val="007B275D"/>
    <w:rsid w:val="007C05E4"/>
    <w:rsid w:val="007C19DA"/>
    <w:rsid w:val="007D0F5A"/>
    <w:rsid w:val="007D29E0"/>
    <w:rsid w:val="007E2A0C"/>
    <w:rsid w:val="007E5F47"/>
    <w:rsid w:val="007E6AEB"/>
    <w:rsid w:val="007F01EC"/>
    <w:rsid w:val="007F0D4C"/>
    <w:rsid w:val="007F14B4"/>
    <w:rsid w:val="007F5657"/>
    <w:rsid w:val="007F7DF2"/>
    <w:rsid w:val="008027A4"/>
    <w:rsid w:val="008027E6"/>
    <w:rsid w:val="008062F9"/>
    <w:rsid w:val="008079FA"/>
    <w:rsid w:val="00816978"/>
    <w:rsid w:val="00816CCC"/>
    <w:rsid w:val="00823493"/>
    <w:rsid w:val="00825220"/>
    <w:rsid w:val="00836CAA"/>
    <w:rsid w:val="00836FD5"/>
    <w:rsid w:val="00837894"/>
    <w:rsid w:val="008415E2"/>
    <w:rsid w:val="0084486D"/>
    <w:rsid w:val="00847E2C"/>
    <w:rsid w:val="00851668"/>
    <w:rsid w:val="00851943"/>
    <w:rsid w:val="00852183"/>
    <w:rsid w:val="0086271A"/>
    <w:rsid w:val="00864902"/>
    <w:rsid w:val="00865975"/>
    <w:rsid w:val="00865A01"/>
    <w:rsid w:val="00865D15"/>
    <w:rsid w:val="00867B86"/>
    <w:rsid w:val="00874367"/>
    <w:rsid w:val="00876CBF"/>
    <w:rsid w:val="008771BC"/>
    <w:rsid w:val="00877B85"/>
    <w:rsid w:val="00877E5F"/>
    <w:rsid w:val="00880DF0"/>
    <w:rsid w:val="00890B77"/>
    <w:rsid w:val="008951DF"/>
    <w:rsid w:val="00896908"/>
    <w:rsid w:val="008973EE"/>
    <w:rsid w:val="008A4EB4"/>
    <w:rsid w:val="008A7B29"/>
    <w:rsid w:val="008B21EA"/>
    <w:rsid w:val="008B30A0"/>
    <w:rsid w:val="008B5618"/>
    <w:rsid w:val="008C4A89"/>
    <w:rsid w:val="008C68D6"/>
    <w:rsid w:val="008D0060"/>
    <w:rsid w:val="008D089D"/>
    <w:rsid w:val="008D2567"/>
    <w:rsid w:val="008D6FBF"/>
    <w:rsid w:val="008E6790"/>
    <w:rsid w:val="008F0125"/>
    <w:rsid w:val="008F0B04"/>
    <w:rsid w:val="008F5CCC"/>
    <w:rsid w:val="008F63F1"/>
    <w:rsid w:val="008F7462"/>
    <w:rsid w:val="0090240C"/>
    <w:rsid w:val="0090649C"/>
    <w:rsid w:val="009078E2"/>
    <w:rsid w:val="0091491F"/>
    <w:rsid w:val="00922456"/>
    <w:rsid w:val="00922B85"/>
    <w:rsid w:val="00930694"/>
    <w:rsid w:val="0093521F"/>
    <w:rsid w:val="009375DB"/>
    <w:rsid w:val="0094040B"/>
    <w:rsid w:val="00941489"/>
    <w:rsid w:val="00945677"/>
    <w:rsid w:val="00962F78"/>
    <w:rsid w:val="00964A29"/>
    <w:rsid w:val="00965048"/>
    <w:rsid w:val="0096609F"/>
    <w:rsid w:val="00967D42"/>
    <w:rsid w:val="00971139"/>
    <w:rsid w:val="00971600"/>
    <w:rsid w:val="0097729B"/>
    <w:rsid w:val="00994E87"/>
    <w:rsid w:val="009973B4"/>
    <w:rsid w:val="009A30D3"/>
    <w:rsid w:val="009A3DD9"/>
    <w:rsid w:val="009A4562"/>
    <w:rsid w:val="009A4A4C"/>
    <w:rsid w:val="009B167A"/>
    <w:rsid w:val="009B3422"/>
    <w:rsid w:val="009B3DDD"/>
    <w:rsid w:val="009B49F8"/>
    <w:rsid w:val="009B6639"/>
    <w:rsid w:val="009B6CB4"/>
    <w:rsid w:val="009B7388"/>
    <w:rsid w:val="009C3819"/>
    <w:rsid w:val="009C720E"/>
    <w:rsid w:val="009C7D3D"/>
    <w:rsid w:val="009D1594"/>
    <w:rsid w:val="009D3BA2"/>
    <w:rsid w:val="009D3D3D"/>
    <w:rsid w:val="009E02D5"/>
    <w:rsid w:val="009E1321"/>
    <w:rsid w:val="009E30DA"/>
    <w:rsid w:val="009E4516"/>
    <w:rsid w:val="009E5FFB"/>
    <w:rsid w:val="009F7EED"/>
    <w:rsid w:val="00A01F2A"/>
    <w:rsid w:val="00A10AD9"/>
    <w:rsid w:val="00A138EC"/>
    <w:rsid w:val="00A17347"/>
    <w:rsid w:val="00A22C54"/>
    <w:rsid w:val="00A27826"/>
    <w:rsid w:val="00A303E7"/>
    <w:rsid w:val="00A3050C"/>
    <w:rsid w:val="00A30CA3"/>
    <w:rsid w:val="00A321CB"/>
    <w:rsid w:val="00A35FBB"/>
    <w:rsid w:val="00A41863"/>
    <w:rsid w:val="00A42FB7"/>
    <w:rsid w:val="00A538CD"/>
    <w:rsid w:val="00A54E47"/>
    <w:rsid w:val="00A562B1"/>
    <w:rsid w:val="00A62FD9"/>
    <w:rsid w:val="00A633B0"/>
    <w:rsid w:val="00A661B3"/>
    <w:rsid w:val="00A709C1"/>
    <w:rsid w:val="00A7189D"/>
    <w:rsid w:val="00A741A1"/>
    <w:rsid w:val="00A7539C"/>
    <w:rsid w:val="00A75ECA"/>
    <w:rsid w:val="00A76AE1"/>
    <w:rsid w:val="00A7787E"/>
    <w:rsid w:val="00A77C65"/>
    <w:rsid w:val="00A801DE"/>
    <w:rsid w:val="00A80B3F"/>
    <w:rsid w:val="00A8159C"/>
    <w:rsid w:val="00A82494"/>
    <w:rsid w:val="00A83562"/>
    <w:rsid w:val="00A86A9D"/>
    <w:rsid w:val="00A90A22"/>
    <w:rsid w:val="00A9118B"/>
    <w:rsid w:val="00A918ED"/>
    <w:rsid w:val="00A97315"/>
    <w:rsid w:val="00AA2E7E"/>
    <w:rsid w:val="00AB1BBD"/>
    <w:rsid w:val="00AB1BCB"/>
    <w:rsid w:val="00AB41FC"/>
    <w:rsid w:val="00AB4846"/>
    <w:rsid w:val="00AB7D2F"/>
    <w:rsid w:val="00AC0AA8"/>
    <w:rsid w:val="00AC0FC6"/>
    <w:rsid w:val="00AD14B8"/>
    <w:rsid w:val="00AD34C8"/>
    <w:rsid w:val="00AE0AD3"/>
    <w:rsid w:val="00AE250B"/>
    <w:rsid w:val="00AE50ED"/>
    <w:rsid w:val="00AF0324"/>
    <w:rsid w:val="00AF0A65"/>
    <w:rsid w:val="00AF0AAB"/>
    <w:rsid w:val="00AF3544"/>
    <w:rsid w:val="00B00556"/>
    <w:rsid w:val="00B04098"/>
    <w:rsid w:val="00B04731"/>
    <w:rsid w:val="00B0685B"/>
    <w:rsid w:val="00B13BC7"/>
    <w:rsid w:val="00B14883"/>
    <w:rsid w:val="00B1616F"/>
    <w:rsid w:val="00B17492"/>
    <w:rsid w:val="00B20341"/>
    <w:rsid w:val="00B21D45"/>
    <w:rsid w:val="00B24CAF"/>
    <w:rsid w:val="00B24FFC"/>
    <w:rsid w:val="00B25B6B"/>
    <w:rsid w:val="00B27D84"/>
    <w:rsid w:val="00B33301"/>
    <w:rsid w:val="00B35FC9"/>
    <w:rsid w:val="00B36D3E"/>
    <w:rsid w:val="00B40603"/>
    <w:rsid w:val="00B4092E"/>
    <w:rsid w:val="00B413EF"/>
    <w:rsid w:val="00B44558"/>
    <w:rsid w:val="00B45C60"/>
    <w:rsid w:val="00B51039"/>
    <w:rsid w:val="00B66466"/>
    <w:rsid w:val="00B7232D"/>
    <w:rsid w:val="00B7232F"/>
    <w:rsid w:val="00B74396"/>
    <w:rsid w:val="00B75693"/>
    <w:rsid w:val="00B8202D"/>
    <w:rsid w:val="00B83ED8"/>
    <w:rsid w:val="00B87603"/>
    <w:rsid w:val="00B8765E"/>
    <w:rsid w:val="00B9382C"/>
    <w:rsid w:val="00B94E07"/>
    <w:rsid w:val="00B94ED3"/>
    <w:rsid w:val="00B95579"/>
    <w:rsid w:val="00B9599B"/>
    <w:rsid w:val="00B95F69"/>
    <w:rsid w:val="00B97BF4"/>
    <w:rsid w:val="00BA0BCB"/>
    <w:rsid w:val="00BA46EC"/>
    <w:rsid w:val="00BB0452"/>
    <w:rsid w:val="00BB27AA"/>
    <w:rsid w:val="00BB5FFB"/>
    <w:rsid w:val="00BC2015"/>
    <w:rsid w:val="00BC69E5"/>
    <w:rsid w:val="00BC7D2B"/>
    <w:rsid w:val="00BD011E"/>
    <w:rsid w:val="00BD1BD9"/>
    <w:rsid w:val="00BD2873"/>
    <w:rsid w:val="00BE16F2"/>
    <w:rsid w:val="00BE23AC"/>
    <w:rsid w:val="00BE4A4C"/>
    <w:rsid w:val="00BF3FAF"/>
    <w:rsid w:val="00BF597E"/>
    <w:rsid w:val="00BF7151"/>
    <w:rsid w:val="00BF77B1"/>
    <w:rsid w:val="00C02BCB"/>
    <w:rsid w:val="00C078CC"/>
    <w:rsid w:val="00C07E77"/>
    <w:rsid w:val="00C1322F"/>
    <w:rsid w:val="00C134A2"/>
    <w:rsid w:val="00C16BC1"/>
    <w:rsid w:val="00C22509"/>
    <w:rsid w:val="00C233CB"/>
    <w:rsid w:val="00C25898"/>
    <w:rsid w:val="00C31C73"/>
    <w:rsid w:val="00C32115"/>
    <w:rsid w:val="00C32D23"/>
    <w:rsid w:val="00C34C9F"/>
    <w:rsid w:val="00C366B3"/>
    <w:rsid w:val="00C37415"/>
    <w:rsid w:val="00C44D4F"/>
    <w:rsid w:val="00C51A36"/>
    <w:rsid w:val="00C52ACE"/>
    <w:rsid w:val="00C5351B"/>
    <w:rsid w:val="00C53CCA"/>
    <w:rsid w:val="00C548BE"/>
    <w:rsid w:val="00C55228"/>
    <w:rsid w:val="00C57265"/>
    <w:rsid w:val="00C57F13"/>
    <w:rsid w:val="00C62BD1"/>
    <w:rsid w:val="00C673D5"/>
    <w:rsid w:val="00C67E19"/>
    <w:rsid w:val="00C67E47"/>
    <w:rsid w:val="00C71E85"/>
    <w:rsid w:val="00C75651"/>
    <w:rsid w:val="00C83A5D"/>
    <w:rsid w:val="00C86F9B"/>
    <w:rsid w:val="00C905E3"/>
    <w:rsid w:val="00C9158B"/>
    <w:rsid w:val="00C92505"/>
    <w:rsid w:val="00C93DAB"/>
    <w:rsid w:val="00C9448F"/>
    <w:rsid w:val="00CA079B"/>
    <w:rsid w:val="00CA3129"/>
    <w:rsid w:val="00CA598B"/>
    <w:rsid w:val="00CA676F"/>
    <w:rsid w:val="00CB0BB0"/>
    <w:rsid w:val="00CB260B"/>
    <w:rsid w:val="00CB51CA"/>
    <w:rsid w:val="00CB5A61"/>
    <w:rsid w:val="00CB622E"/>
    <w:rsid w:val="00CB68C1"/>
    <w:rsid w:val="00CC7248"/>
    <w:rsid w:val="00CC7261"/>
    <w:rsid w:val="00CD5516"/>
    <w:rsid w:val="00CE084D"/>
    <w:rsid w:val="00CE315A"/>
    <w:rsid w:val="00CE3359"/>
    <w:rsid w:val="00CE53B2"/>
    <w:rsid w:val="00CE7BE1"/>
    <w:rsid w:val="00CF1726"/>
    <w:rsid w:val="00CF3236"/>
    <w:rsid w:val="00CF34E3"/>
    <w:rsid w:val="00CF6C5C"/>
    <w:rsid w:val="00D015AF"/>
    <w:rsid w:val="00D01731"/>
    <w:rsid w:val="00D04C8A"/>
    <w:rsid w:val="00D0514D"/>
    <w:rsid w:val="00D06F59"/>
    <w:rsid w:val="00D12B63"/>
    <w:rsid w:val="00D14213"/>
    <w:rsid w:val="00D1658A"/>
    <w:rsid w:val="00D24D0E"/>
    <w:rsid w:val="00D257EB"/>
    <w:rsid w:val="00D25AE1"/>
    <w:rsid w:val="00D3392D"/>
    <w:rsid w:val="00D33B2E"/>
    <w:rsid w:val="00D35291"/>
    <w:rsid w:val="00D35CC0"/>
    <w:rsid w:val="00D453D7"/>
    <w:rsid w:val="00D52340"/>
    <w:rsid w:val="00D546BA"/>
    <w:rsid w:val="00D54F54"/>
    <w:rsid w:val="00D55E69"/>
    <w:rsid w:val="00D562F6"/>
    <w:rsid w:val="00D613CA"/>
    <w:rsid w:val="00D620E2"/>
    <w:rsid w:val="00D645FD"/>
    <w:rsid w:val="00D67E9B"/>
    <w:rsid w:val="00D705C5"/>
    <w:rsid w:val="00D80A06"/>
    <w:rsid w:val="00D8388C"/>
    <w:rsid w:val="00D850A2"/>
    <w:rsid w:val="00D85D9E"/>
    <w:rsid w:val="00D93137"/>
    <w:rsid w:val="00D95C39"/>
    <w:rsid w:val="00D95E05"/>
    <w:rsid w:val="00D969D2"/>
    <w:rsid w:val="00DA0A8D"/>
    <w:rsid w:val="00DA1125"/>
    <w:rsid w:val="00DA1B52"/>
    <w:rsid w:val="00DA508D"/>
    <w:rsid w:val="00DA79DB"/>
    <w:rsid w:val="00DB1644"/>
    <w:rsid w:val="00DB2563"/>
    <w:rsid w:val="00DB2B24"/>
    <w:rsid w:val="00DB3989"/>
    <w:rsid w:val="00DB3DD3"/>
    <w:rsid w:val="00DB6D65"/>
    <w:rsid w:val="00DC0D79"/>
    <w:rsid w:val="00DC2577"/>
    <w:rsid w:val="00DC261B"/>
    <w:rsid w:val="00DC38CC"/>
    <w:rsid w:val="00DC5042"/>
    <w:rsid w:val="00DC6D9C"/>
    <w:rsid w:val="00DD1AAE"/>
    <w:rsid w:val="00DD2936"/>
    <w:rsid w:val="00DD31DC"/>
    <w:rsid w:val="00DD6AE9"/>
    <w:rsid w:val="00DE11F8"/>
    <w:rsid w:val="00DE28C3"/>
    <w:rsid w:val="00DE2D80"/>
    <w:rsid w:val="00DE401E"/>
    <w:rsid w:val="00DE6067"/>
    <w:rsid w:val="00DE6542"/>
    <w:rsid w:val="00DE669D"/>
    <w:rsid w:val="00DE6E1A"/>
    <w:rsid w:val="00DF0279"/>
    <w:rsid w:val="00DF1A6F"/>
    <w:rsid w:val="00DF255E"/>
    <w:rsid w:val="00DF689E"/>
    <w:rsid w:val="00DF7552"/>
    <w:rsid w:val="00DF7C9C"/>
    <w:rsid w:val="00E0248A"/>
    <w:rsid w:val="00E038E4"/>
    <w:rsid w:val="00E054F7"/>
    <w:rsid w:val="00E06F75"/>
    <w:rsid w:val="00E1334D"/>
    <w:rsid w:val="00E14FFB"/>
    <w:rsid w:val="00E17D47"/>
    <w:rsid w:val="00E2469C"/>
    <w:rsid w:val="00E26678"/>
    <w:rsid w:val="00E317C9"/>
    <w:rsid w:val="00E34058"/>
    <w:rsid w:val="00E36534"/>
    <w:rsid w:val="00E4035E"/>
    <w:rsid w:val="00E40A94"/>
    <w:rsid w:val="00E43822"/>
    <w:rsid w:val="00E43D5A"/>
    <w:rsid w:val="00E474A9"/>
    <w:rsid w:val="00E50A87"/>
    <w:rsid w:val="00E547D2"/>
    <w:rsid w:val="00E611BA"/>
    <w:rsid w:val="00E611E4"/>
    <w:rsid w:val="00E61C0C"/>
    <w:rsid w:val="00E63714"/>
    <w:rsid w:val="00E65DB7"/>
    <w:rsid w:val="00E708D8"/>
    <w:rsid w:val="00E75415"/>
    <w:rsid w:val="00E76FBB"/>
    <w:rsid w:val="00E83B47"/>
    <w:rsid w:val="00E86BC9"/>
    <w:rsid w:val="00E90598"/>
    <w:rsid w:val="00E9727C"/>
    <w:rsid w:val="00E97424"/>
    <w:rsid w:val="00EA04B1"/>
    <w:rsid w:val="00EA4601"/>
    <w:rsid w:val="00EA55F7"/>
    <w:rsid w:val="00EA7C25"/>
    <w:rsid w:val="00EB0164"/>
    <w:rsid w:val="00EB023C"/>
    <w:rsid w:val="00EC39E9"/>
    <w:rsid w:val="00EC42F5"/>
    <w:rsid w:val="00EC75C7"/>
    <w:rsid w:val="00EC7A65"/>
    <w:rsid w:val="00ED0F62"/>
    <w:rsid w:val="00ED1F84"/>
    <w:rsid w:val="00EE07A4"/>
    <w:rsid w:val="00EE3ABF"/>
    <w:rsid w:val="00EF2BDD"/>
    <w:rsid w:val="00EF35E4"/>
    <w:rsid w:val="00EF7753"/>
    <w:rsid w:val="00F074A0"/>
    <w:rsid w:val="00F07A58"/>
    <w:rsid w:val="00F16B93"/>
    <w:rsid w:val="00F16D87"/>
    <w:rsid w:val="00F25812"/>
    <w:rsid w:val="00F26299"/>
    <w:rsid w:val="00F31A5C"/>
    <w:rsid w:val="00F3388A"/>
    <w:rsid w:val="00F33CC6"/>
    <w:rsid w:val="00F401CE"/>
    <w:rsid w:val="00F417F3"/>
    <w:rsid w:val="00F422CC"/>
    <w:rsid w:val="00F42D4A"/>
    <w:rsid w:val="00F43FB5"/>
    <w:rsid w:val="00F53331"/>
    <w:rsid w:val="00F606E1"/>
    <w:rsid w:val="00F62627"/>
    <w:rsid w:val="00F64B6A"/>
    <w:rsid w:val="00F66839"/>
    <w:rsid w:val="00F70ABB"/>
    <w:rsid w:val="00F73C8E"/>
    <w:rsid w:val="00F76A88"/>
    <w:rsid w:val="00F8044C"/>
    <w:rsid w:val="00F81780"/>
    <w:rsid w:val="00F83639"/>
    <w:rsid w:val="00F840C3"/>
    <w:rsid w:val="00F937DF"/>
    <w:rsid w:val="00F956F5"/>
    <w:rsid w:val="00FA0833"/>
    <w:rsid w:val="00FA0944"/>
    <w:rsid w:val="00FA350D"/>
    <w:rsid w:val="00FB7025"/>
    <w:rsid w:val="00FC39AD"/>
    <w:rsid w:val="00FC447B"/>
    <w:rsid w:val="00FC50D3"/>
    <w:rsid w:val="00FC712F"/>
    <w:rsid w:val="00FD2869"/>
    <w:rsid w:val="00FD51D6"/>
    <w:rsid w:val="00FD5EE5"/>
    <w:rsid w:val="00FD72A6"/>
    <w:rsid w:val="00FE2C5C"/>
    <w:rsid w:val="00FE3A25"/>
    <w:rsid w:val="00FE7F9B"/>
    <w:rsid w:val="00FF1C54"/>
    <w:rsid w:val="00FF377D"/>
    <w:rsid w:val="00FF4106"/>
    <w:rsid w:val="00FF6F79"/>
    <w:rsid w:val="053A2D97"/>
    <w:rsid w:val="07C917E7"/>
    <w:rsid w:val="0A9239D5"/>
    <w:rsid w:val="0AAE4AE4"/>
    <w:rsid w:val="0E6B29EA"/>
    <w:rsid w:val="108219C2"/>
    <w:rsid w:val="10A24FF4"/>
    <w:rsid w:val="1483457E"/>
    <w:rsid w:val="21D31D11"/>
    <w:rsid w:val="246F5F9E"/>
    <w:rsid w:val="301554FF"/>
    <w:rsid w:val="415E2D13"/>
    <w:rsid w:val="41AB7355"/>
    <w:rsid w:val="446D41DE"/>
    <w:rsid w:val="46C35FDE"/>
    <w:rsid w:val="4FE311A9"/>
    <w:rsid w:val="522349BA"/>
    <w:rsid w:val="5EA12B9A"/>
    <w:rsid w:val="695947AC"/>
    <w:rsid w:val="6A0F76E9"/>
    <w:rsid w:val="72C25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widowControl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link w:val="18"/>
    <w:uiPriority w:val="0"/>
    <w:pPr>
      <w:widowControl/>
      <w:spacing w:after="120"/>
      <w:ind w:left="420" w:leftChars="200"/>
    </w:pPr>
    <w:rPr>
      <w:rFonts w:ascii="Calibri" w:hAnsi="Calibri"/>
    </w:rPr>
  </w:style>
  <w:style w:type="paragraph" w:styleId="5">
    <w:name w:val="Plain Text"/>
    <w:basedOn w:val="1"/>
    <w:link w:val="15"/>
    <w:uiPriority w:val="0"/>
    <w:pPr>
      <w:widowControl/>
      <w:jc w:val="left"/>
    </w:pPr>
    <w:rPr>
      <w:rFonts w:ascii="宋体" w:hAnsi="Courier New"/>
      <w:kern w:val="0"/>
      <w:sz w:val="20"/>
      <w:lang w:eastAsia="en-US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纯文本 Char"/>
    <w:basedOn w:val="10"/>
    <w:link w:val="5"/>
    <w:qFormat/>
    <w:uiPriority w:val="0"/>
    <w:rPr>
      <w:rFonts w:ascii="宋体" w:hAnsi="Courier New" w:eastAsia="宋体" w:cs="Times New Roman"/>
      <w:lang w:eastAsia="en-US"/>
    </w:rPr>
  </w:style>
  <w:style w:type="paragraph" w:customStyle="1" w:styleId="16">
    <w:name w:val="_Style 2"/>
    <w:basedOn w:val="1"/>
    <w:qFormat/>
    <w:uiPriority w:val="0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正文文本缩进 Char"/>
    <w:basedOn w:val="10"/>
    <w:link w:val="4"/>
    <w:uiPriority w:val="0"/>
    <w:rPr>
      <w:rFonts w:ascii="Calibri" w:hAnsi="Calibri" w:eastAsia="宋体" w:cs="Times New Roman"/>
      <w:kern w:val="2"/>
      <w:sz w:val="21"/>
    </w:rPr>
  </w:style>
  <w:style w:type="paragraph" w:customStyle="1" w:styleId="19">
    <w:name w:val="表格文字"/>
    <w:basedOn w:val="1"/>
    <w:qFormat/>
    <w:uiPriority w:val="0"/>
    <w:pPr>
      <w:widowControl/>
      <w:spacing w:beforeLines="25" w:afterLines="25" w:line="360" w:lineRule="auto"/>
    </w:pPr>
    <w:rPr>
      <w:rFonts w:ascii="Calibri" w:hAnsi="Calibri"/>
      <w:spacing w:val="10"/>
      <w:szCs w:val="24"/>
    </w:rPr>
  </w:style>
  <w:style w:type="character" w:customStyle="1" w:styleId="20">
    <w:name w:val="Char Char"/>
    <w:uiPriority w:val="0"/>
    <w:rPr>
      <w:rFonts w:eastAsia="宋体"/>
      <w:sz w:val="21"/>
      <w:lang w:val="en-US" w:eastAsia="zh-CN" w:bidi="ar-SA"/>
    </w:rPr>
  </w:style>
  <w:style w:type="paragraph" w:customStyle="1" w:styleId="21">
    <w:name w:val="main"/>
    <w:basedOn w:val="1"/>
    <w:uiPriority w:val="0"/>
    <w:pPr>
      <w:widowControl/>
      <w:spacing w:before="100" w:beforeAutospacing="1" w:after="100" w:afterAutospacing="1" w:line="320" w:lineRule="atLeast"/>
      <w:jc w:val="left"/>
    </w:pPr>
    <w:rPr>
      <w:rFonts w:ascii="ˎ̥" w:hAnsi="ˎ̥"/>
      <w:kern w:val="0"/>
      <w:szCs w:val="21"/>
    </w:rPr>
  </w:style>
  <w:style w:type="character" w:customStyle="1" w:styleId="22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89A4A-C3FC-4071-962D-16AB2B942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419</Words>
  <Characters>2390</Characters>
  <Lines>19</Lines>
  <Paragraphs>5</Paragraphs>
  <TotalTime>0</TotalTime>
  <ScaleCrop>false</ScaleCrop>
  <LinksUpToDate>false</LinksUpToDate>
  <CharactersWithSpaces>2804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2021-03-16T15:54:56Z</dcterms:modified>
  <cp:revision>1292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