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Theme="minorEastAsia"/>
          <w:bCs/>
          <w:sz w:val="36"/>
          <w:szCs w:val="36"/>
        </w:rPr>
      </w:pPr>
      <w:r>
        <w:rPr>
          <w:rFonts w:hAnsiTheme="minorEastAsia" w:eastAsiaTheme="minorEastAsia"/>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eastAsiaTheme="minorEastAsia"/>
                <w:sz w:val="21"/>
                <w:szCs w:val="21"/>
              </w:rPr>
            </w:pPr>
            <w:r>
              <w:rPr>
                <w:rFonts w:hAnsiTheme="minorEastAsia" w:eastAsiaTheme="minorEastAsia"/>
                <w:sz w:val="21"/>
                <w:szCs w:val="21"/>
              </w:rPr>
              <w:t>过程与活动、</w:t>
            </w:r>
          </w:p>
          <w:p>
            <w:pPr>
              <w:spacing w:line="360" w:lineRule="auto"/>
              <w:jc w:val="center"/>
              <w:rPr>
                <w:rFonts w:eastAsiaTheme="minorEastAsia"/>
                <w:sz w:val="21"/>
                <w:szCs w:val="21"/>
              </w:rPr>
            </w:pPr>
            <w:r>
              <w:rPr>
                <w:rFonts w:hAnsiTheme="minorEastAsia" w:eastAsiaTheme="minorEastAsia"/>
                <w:sz w:val="21"/>
                <w:szCs w:val="21"/>
              </w:rPr>
              <w:t>抽样计划</w:t>
            </w:r>
          </w:p>
        </w:tc>
        <w:tc>
          <w:tcPr>
            <w:tcW w:w="1276" w:type="dxa"/>
            <w:vMerge w:val="restart"/>
            <w:vAlign w:val="center"/>
          </w:tcPr>
          <w:p>
            <w:pPr>
              <w:spacing w:line="360" w:lineRule="auto"/>
              <w:rPr>
                <w:rFonts w:eastAsiaTheme="minorEastAsia"/>
                <w:sz w:val="21"/>
                <w:szCs w:val="21"/>
              </w:rPr>
            </w:pPr>
            <w:r>
              <w:rPr>
                <w:rFonts w:hAnsiTheme="minorEastAsia" w:eastAsiaTheme="minorEastAsia"/>
                <w:sz w:val="21"/>
                <w:szCs w:val="21"/>
              </w:rPr>
              <w:t>涉及条款</w:t>
            </w:r>
          </w:p>
        </w:tc>
        <w:tc>
          <w:tcPr>
            <w:tcW w:w="10606" w:type="dxa"/>
            <w:vAlign w:val="center"/>
          </w:tcPr>
          <w:p>
            <w:pPr>
              <w:spacing w:line="360" w:lineRule="auto"/>
              <w:rPr>
                <w:rFonts w:hint="default" w:eastAsiaTheme="minorEastAsia"/>
                <w:sz w:val="21"/>
                <w:szCs w:val="21"/>
                <w:lang w:val="en-US" w:eastAsia="zh-CN"/>
              </w:rPr>
            </w:pPr>
            <w:r>
              <w:rPr>
                <w:rFonts w:hAnsiTheme="minorEastAsia" w:eastAsiaTheme="minorEastAsia"/>
                <w:sz w:val="21"/>
                <w:szCs w:val="21"/>
              </w:rPr>
              <w:t>受审核部门：</w:t>
            </w:r>
            <w:r>
              <w:rPr>
                <w:rFonts w:hint="eastAsia" w:hAnsiTheme="minorEastAsia" w:eastAsiaTheme="minorEastAsia"/>
                <w:sz w:val="21"/>
                <w:szCs w:val="21"/>
                <w:lang w:val="en-US" w:eastAsia="zh-CN"/>
              </w:rPr>
              <w:t>综合</w:t>
            </w:r>
            <w:r>
              <w:rPr>
                <w:rFonts w:hAnsiTheme="minorEastAsia" w:eastAsiaTheme="minorEastAsia"/>
                <w:sz w:val="21"/>
                <w:szCs w:val="21"/>
              </w:rPr>
              <w:t>部</w:t>
            </w:r>
            <w:r>
              <w:rPr>
                <w:rFonts w:eastAsiaTheme="minorEastAsia"/>
                <w:sz w:val="21"/>
                <w:szCs w:val="21"/>
              </w:rPr>
              <w:t xml:space="preserve">  </w:t>
            </w:r>
            <w:r>
              <w:rPr>
                <w:rFonts w:hAnsiTheme="minorEastAsia" w:eastAsiaTheme="minorEastAsia"/>
                <w:sz w:val="21"/>
                <w:szCs w:val="21"/>
              </w:rPr>
              <w:t>主管领导：</w:t>
            </w:r>
            <w:r>
              <w:rPr>
                <w:rFonts w:hint="eastAsia" w:hAnsiTheme="minorEastAsia" w:eastAsiaTheme="minorEastAsia"/>
                <w:sz w:val="21"/>
                <w:szCs w:val="21"/>
                <w:lang w:val="en-US" w:eastAsia="zh-CN"/>
              </w:rPr>
              <w:t>白蕊</w:t>
            </w:r>
            <w:r>
              <w:rPr>
                <w:rFonts w:eastAsiaTheme="minorEastAsia"/>
                <w:sz w:val="21"/>
                <w:szCs w:val="21"/>
              </w:rPr>
              <w:t xml:space="preserve">  </w:t>
            </w:r>
            <w:r>
              <w:rPr>
                <w:rFonts w:hAnsiTheme="minorEastAsia" w:eastAsiaTheme="minorEastAsia"/>
                <w:sz w:val="21"/>
                <w:szCs w:val="21"/>
              </w:rPr>
              <w:t>陪同人员：</w:t>
            </w:r>
            <w:r>
              <w:rPr>
                <w:rFonts w:hint="eastAsia" w:hAnsiTheme="minorEastAsia" w:eastAsiaTheme="minorEastAsia"/>
                <w:sz w:val="21"/>
                <w:szCs w:val="21"/>
                <w:lang w:val="en-US" w:eastAsia="zh-CN"/>
              </w:rPr>
              <w:t>郭靖</w:t>
            </w:r>
          </w:p>
        </w:tc>
        <w:tc>
          <w:tcPr>
            <w:tcW w:w="1585" w:type="dxa"/>
            <w:vMerge w:val="restart"/>
            <w:vAlign w:val="center"/>
          </w:tcPr>
          <w:p>
            <w:pPr>
              <w:spacing w:line="360" w:lineRule="auto"/>
              <w:rPr>
                <w:rFonts w:eastAsiaTheme="minorEastAsia"/>
                <w:sz w:val="21"/>
                <w:szCs w:val="21"/>
              </w:rPr>
            </w:pPr>
            <w:r>
              <w:rPr>
                <w:rFonts w:hAnsiTheme="minorEastAsia" w:eastAsia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60" w:lineRule="auto"/>
              <w:rPr>
                <w:rFonts w:eastAsiaTheme="minorEastAsia"/>
                <w:sz w:val="21"/>
                <w:szCs w:val="21"/>
              </w:rPr>
            </w:pPr>
          </w:p>
        </w:tc>
        <w:tc>
          <w:tcPr>
            <w:tcW w:w="1276" w:type="dxa"/>
            <w:vMerge w:val="continue"/>
            <w:vAlign w:val="center"/>
          </w:tcPr>
          <w:p>
            <w:pPr>
              <w:spacing w:line="360" w:lineRule="auto"/>
              <w:rPr>
                <w:rFonts w:eastAsiaTheme="minorEastAsia"/>
                <w:sz w:val="21"/>
                <w:szCs w:val="21"/>
              </w:rPr>
            </w:pPr>
          </w:p>
        </w:tc>
        <w:tc>
          <w:tcPr>
            <w:tcW w:w="10606" w:type="dxa"/>
            <w:vAlign w:val="center"/>
          </w:tcPr>
          <w:p>
            <w:pPr>
              <w:spacing w:before="120" w:line="360" w:lineRule="auto"/>
              <w:rPr>
                <w:rFonts w:hint="default" w:eastAsiaTheme="minorEastAsia"/>
                <w:sz w:val="21"/>
                <w:szCs w:val="21"/>
                <w:lang w:val="en-US" w:eastAsia="zh-CN"/>
              </w:rPr>
            </w:pPr>
            <w:r>
              <w:rPr>
                <w:rFonts w:hAnsiTheme="minorEastAsia" w:eastAsiaTheme="minorEastAsia"/>
                <w:sz w:val="21"/>
                <w:szCs w:val="21"/>
              </w:rPr>
              <w:t>审核员：</w:t>
            </w:r>
            <w:r>
              <w:rPr>
                <w:rFonts w:hint="eastAsia" w:hAnsiTheme="minorEastAsia" w:eastAsiaTheme="minorEastAsia"/>
                <w:sz w:val="21"/>
                <w:szCs w:val="21"/>
                <w:lang w:val="en-US" w:eastAsia="zh-CN"/>
              </w:rPr>
              <w:t>伍光华</w:t>
            </w:r>
            <w:r>
              <w:rPr>
                <w:rFonts w:eastAsiaTheme="minorEastAsia"/>
                <w:sz w:val="21"/>
                <w:szCs w:val="21"/>
              </w:rPr>
              <w:t xml:space="preserve">  </w:t>
            </w:r>
            <w:r>
              <w:rPr>
                <w:rFonts w:hAnsiTheme="minorEastAsia" w:eastAsiaTheme="minorEastAsia"/>
                <w:sz w:val="21"/>
                <w:szCs w:val="21"/>
              </w:rPr>
              <w:t>审核时间：</w:t>
            </w:r>
            <w:r>
              <w:rPr>
                <w:rFonts w:eastAsiaTheme="minorEastAsia"/>
                <w:sz w:val="21"/>
                <w:szCs w:val="21"/>
              </w:rPr>
              <w:t>202</w:t>
            </w:r>
            <w:r>
              <w:rPr>
                <w:rFonts w:hint="eastAsia" w:eastAsiaTheme="minorEastAsia"/>
                <w:sz w:val="21"/>
                <w:szCs w:val="21"/>
                <w:lang w:val="en-US" w:eastAsia="zh-CN"/>
              </w:rPr>
              <w:t>1</w:t>
            </w:r>
            <w:r>
              <w:rPr>
                <w:rFonts w:eastAsiaTheme="minorEastAsia"/>
                <w:sz w:val="21"/>
                <w:szCs w:val="21"/>
              </w:rPr>
              <w:t>.</w:t>
            </w:r>
            <w:r>
              <w:rPr>
                <w:rFonts w:hint="eastAsia" w:eastAsiaTheme="minorEastAsia"/>
                <w:sz w:val="21"/>
                <w:szCs w:val="21"/>
                <w:lang w:val="en-US" w:eastAsia="zh-CN"/>
              </w:rPr>
              <w:t>3</w:t>
            </w:r>
            <w:r>
              <w:rPr>
                <w:rFonts w:hint="eastAsia" w:eastAsiaTheme="minorEastAsia"/>
                <w:sz w:val="21"/>
                <w:szCs w:val="21"/>
              </w:rPr>
              <w:t>.</w:t>
            </w:r>
            <w:r>
              <w:rPr>
                <w:rFonts w:hint="eastAsia" w:eastAsiaTheme="minorEastAsia"/>
                <w:sz w:val="21"/>
                <w:szCs w:val="21"/>
                <w:lang w:val="en-US" w:eastAsia="zh-CN"/>
              </w:rPr>
              <w:t>16</w:t>
            </w:r>
          </w:p>
        </w:tc>
        <w:tc>
          <w:tcPr>
            <w:tcW w:w="1585" w:type="dxa"/>
            <w:vMerge w:val="continue"/>
          </w:tcPr>
          <w:p>
            <w:pPr>
              <w:spacing w:line="360" w:lineRule="auto"/>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eastAsiaTheme="minorEastAsia"/>
                <w:sz w:val="21"/>
                <w:szCs w:val="21"/>
              </w:rPr>
            </w:pPr>
          </w:p>
        </w:tc>
        <w:tc>
          <w:tcPr>
            <w:tcW w:w="1276" w:type="dxa"/>
            <w:vMerge w:val="continue"/>
            <w:vAlign w:val="center"/>
          </w:tcPr>
          <w:p>
            <w:pPr>
              <w:spacing w:line="360" w:lineRule="auto"/>
              <w:rPr>
                <w:rFonts w:eastAsiaTheme="minorEastAsia"/>
                <w:sz w:val="21"/>
                <w:szCs w:val="21"/>
              </w:rPr>
            </w:pPr>
          </w:p>
        </w:tc>
        <w:tc>
          <w:tcPr>
            <w:tcW w:w="10606" w:type="dxa"/>
            <w:vAlign w:val="center"/>
          </w:tcPr>
          <w:p>
            <w:pPr>
              <w:adjustRightInd w:val="0"/>
              <w:snapToGrid w:val="0"/>
              <w:ind w:right="105" w:rightChars="50"/>
              <w:textAlignment w:val="baseline"/>
              <w:rPr>
                <w:rFonts w:eastAsiaTheme="minorEastAsia"/>
                <w:sz w:val="21"/>
                <w:szCs w:val="21"/>
              </w:rPr>
            </w:pPr>
            <w:r>
              <w:rPr>
                <w:rFonts w:hAnsiTheme="minorEastAsia" w:eastAsiaTheme="minorEastAsia"/>
                <w:sz w:val="21"/>
                <w:szCs w:val="21"/>
              </w:rPr>
              <w:t>审核条款：</w:t>
            </w:r>
          </w:p>
          <w:p>
            <w:pPr>
              <w:spacing w:beforeLines="69" w:line="360" w:lineRule="auto"/>
              <w:rPr>
                <w:rFonts w:ascii="宋体" w:hAnsi="宋体" w:cs="Arial"/>
                <w:sz w:val="21"/>
                <w:szCs w:val="21"/>
              </w:rPr>
            </w:pPr>
            <w:r>
              <w:rPr>
                <w:rFonts w:hint="eastAsia" w:hAnsiTheme="minorEastAsia" w:eastAsiaTheme="minorEastAsia"/>
                <w:sz w:val="21"/>
                <w:szCs w:val="21"/>
              </w:rPr>
              <w:t>EO: 5.3组织的岗位、职责和权限、6.2.1环境目标、6.2.2实现环境目标措施的策划7.2能力、7.3意识、7.5.1形成文件的信息总则、7.5.2形成文件的信息的创建和更新、7.5.3形成文件的信息的控制、9.2 内部审核、10.2不符合/事件和纠正措施，6.1.2环境因素的识别与评价、6.1.3合规义务、6.1.4措施的策划、8.1运行策划和控制、9.1监视、测量、分析和评价（9.1.1总则、9.1.2合规性评价）、8.2应急准备和响应,</w:t>
            </w:r>
          </w:p>
        </w:tc>
        <w:tc>
          <w:tcPr>
            <w:tcW w:w="1585" w:type="dxa"/>
            <w:vMerge w:val="continue"/>
          </w:tcPr>
          <w:p>
            <w:pPr>
              <w:spacing w:line="360" w:lineRule="auto"/>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1242" w:type="dxa"/>
            <w:vAlign w:val="center"/>
          </w:tcPr>
          <w:p>
            <w:pPr>
              <w:spacing w:line="360" w:lineRule="auto"/>
              <w:rPr>
                <w:rFonts w:eastAsiaTheme="minorEastAsia"/>
                <w:b/>
                <w:sz w:val="21"/>
                <w:szCs w:val="21"/>
              </w:rPr>
            </w:pPr>
            <w:r>
              <w:rPr>
                <w:rFonts w:hAnsiTheme="minorEastAsia" w:eastAsiaTheme="minorEastAsia"/>
                <w:sz w:val="21"/>
                <w:szCs w:val="21"/>
              </w:rPr>
              <w:t>组织的岗位、职责和权限</w:t>
            </w:r>
          </w:p>
        </w:tc>
        <w:tc>
          <w:tcPr>
            <w:tcW w:w="1276" w:type="dxa"/>
          </w:tcPr>
          <w:p>
            <w:pPr>
              <w:spacing w:line="360" w:lineRule="auto"/>
              <w:rPr>
                <w:rFonts w:eastAsiaTheme="minorEastAsia"/>
                <w:sz w:val="21"/>
                <w:szCs w:val="21"/>
              </w:rPr>
            </w:pPr>
            <w:r>
              <w:rPr>
                <w:rFonts w:eastAsiaTheme="minorEastAsia"/>
                <w:sz w:val="21"/>
                <w:szCs w:val="21"/>
              </w:rPr>
              <w:t>E5.3</w:t>
            </w:r>
          </w:p>
          <w:p>
            <w:pPr>
              <w:spacing w:line="360" w:lineRule="auto"/>
              <w:rPr>
                <w:rFonts w:eastAsiaTheme="minorEastAsia"/>
                <w:sz w:val="21"/>
                <w:szCs w:val="21"/>
              </w:rPr>
            </w:pPr>
            <w:r>
              <w:rPr>
                <w:rFonts w:eastAsiaTheme="minorEastAsia"/>
                <w:sz w:val="21"/>
                <w:szCs w:val="21"/>
              </w:rPr>
              <w:t>O5.3</w:t>
            </w:r>
          </w:p>
        </w:tc>
        <w:tc>
          <w:tcPr>
            <w:tcW w:w="10606" w:type="dxa"/>
          </w:tcPr>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现场审核了解到部门主要负责： 白蕊 </w:t>
            </w:r>
          </w:p>
          <w:p>
            <w:pPr>
              <w:ind w:firstLine="420" w:firstLineChars="200"/>
              <w:rPr>
                <w:sz w:val="21"/>
                <w:szCs w:val="21"/>
              </w:rPr>
            </w:pPr>
            <w:r>
              <w:rPr>
                <w:rFonts w:hint="eastAsia"/>
                <w:sz w:val="21"/>
                <w:szCs w:val="21"/>
              </w:rPr>
              <w:t>询问主要职责：贯彻落实GB/T24001-2016标准、ISO45001-2018标准，作好环境、职业安全健康管理体系的具体策划和组织管理工作；负责组织质量、环境和职业健康安全管理体系的内部审核；组织检查环境、职业安全健康管理体系过程的运行情况。</w:t>
            </w:r>
          </w:p>
          <w:p>
            <w:pPr>
              <w:ind w:firstLine="420" w:firstLineChars="200"/>
              <w:rPr>
                <w:sz w:val="21"/>
                <w:szCs w:val="21"/>
              </w:rPr>
            </w:pPr>
            <w:r>
              <w:rPr>
                <w:rFonts w:hint="eastAsia"/>
                <w:sz w:val="21"/>
                <w:szCs w:val="21"/>
              </w:rPr>
              <w:t>2）文件发放、回收的管理；</w:t>
            </w:r>
          </w:p>
          <w:p>
            <w:pPr>
              <w:ind w:firstLine="420" w:firstLineChars="200"/>
              <w:rPr>
                <w:sz w:val="21"/>
                <w:szCs w:val="21"/>
              </w:rPr>
            </w:pPr>
            <w:r>
              <w:rPr>
                <w:rFonts w:hint="eastAsia"/>
                <w:sz w:val="21"/>
                <w:szCs w:val="21"/>
              </w:rPr>
              <w:t>3）负责人员的选择，并根据各部门的需求进行安排，编制相应的岗位工作入职要求；</w:t>
            </w:r>
          </w:p>
          <w:p>
            <w:pPr>
              <w:ind w:firstLine="420" w:firstLineChars="200"/>
              <w:rPr>
                <w:sz w:val="21"/>
                <w:szCs w:val="21"/>
              </w:rPr>
            </w:pPr>
            <w:r>
              <w:rPr>
                <w:rFonts w:hint="eastAsia"/>
                <w:sz w:val="21"/>
                <w:szCs w:val="21"/>
              </w:rPr>
              <w:t>4）组织对各类人员进行有针对性的培训、考核及评价工作，不断提高质量、环境、职业安全健康意识素质和技能；</w:t>
            </w:r>
          </w:p>
          <w:p>
            <w:pPr>
              <w:ind w:firstLine="420" w:firstLineChars="200"/>
              <w:rPr>
                <w:sz w:val="21"/>
                <w:szCs w:val="21"/>
              </w:rPr>
            </w:pPr>
            <w:r>
              <w:rPr>
                <w:rFonts w:hint="eastAsia"/>
                <w:sz w:val="21"/>
                <w:szCs w:val="21"/>
              </w:rPr>
              <w:t>5）负责法律、法规及其他要求的获取及识别其适用性，并负责法律、法规及其他要求的发放；</w:t>
            </w:r>
          </w:p>
          <w:p>
            <w:pPr>
              <w:ind w:firstLine="420" w:firstLineChars="200"/>
              <w:rPr>
                <w:sz w:val="21"/>
                <w:szCs w:val="21"/>
              </w:rPr>
            </w:pPr>
            <w:r>
              <w:rPr>
                <w:rFonts w:hint="eastAsia"/>
                <w:sz w:val="21"/>
                <w:szCs w:val="21"/>
              </w:rPr>
              <w:t>6）负责组织公司环境因素、危险源的识别和评价，并确定重要环境因素、危险源，报管理者代表审批。</w:t>
            </w:r>
          </w:p>
          <w:p>
            <w:pPr>
              <w:ind w:firstLine="420" w:firstLineChars="200"/>
              <w:rPr>
                <w:sz w:val="21"/>
                <w:szCs w:val="21"/>
              </w:rPr>
            </w:pPr>
            <w:r>
              <w:rPr>
                <w:rFonts w:hint="eastAsia"/>
                <w:sz w:val="21"/>
                <w:szCs w:val="21"/>
              </w:rPr>
              <w:t>7）负责监督检查工作场所的工作环境情况；</w:t>
            </w:r>
          </w:p>
          <w:p>
            <w:pPr>
              <w:ind w:firstLine="420" w:firstLineChars="200"/>
              <w:rPr>
                <w:sz w:val="21"/>
                <w:szCs w:val="21"/>
              </w:rPr>
            </w:pPr>
            <w:r>
              <w:rPr>
                <w:rFonts w:hint="eastAsia"/>
                <w:sz w:val="21"/>
                <w:szCs w:val="21"/>
              </w:rPr>
              <w:t>8）负责公司范围内的应急准备和相应计划的制定及可行性的应急演练。</w:t>
            </w:r>
          </w:p>
          <w:p>
            <w:pPr>
              <w:ind w:firstLine="420" w:firstLineChars="200"/>
              <w:rPr>
                <w:sz w:val="21"/>
                <w:szCs w:val="21"/>
              </w:rPr>
            </w:pPr>
            <w:r>
              <w:rPr>
                <w:rFonts w:hint="eastAsia"/>
                <w:sz w:val="21"/>
                <w:szCs w:val="21"/>
              </w:rPr>
              <w:t>9）负责监督检查公司各职能部门有关层次上的管理目标的分解、实施及管理方案的制定、检查与实施。</w:t>
            </w:r>
          </w:p>
          <w:p>
            <w:pPr>
              <w:ind w:firstLine="420" w:firstLineChars="200"/>
              <w:rPr>
                <w:sz w:val="21"/>
                <w:szCs w:val="21"/>
              </w:rPr>
            </w:pPr>
            <w:r>
              <w:rPr>
                <w:rFonts w:hint="eastAsia"/>
                <w:sz w:val="21"/>
                <w:szCs w:val="21"/>
              </w:rPr>
              <w:t>10）负责收集、整理和保管本部门的质量记录以及相关数据收集、传递和交流；</w:t>
            </w:r>
          </w:p>
          <w:p>
            <w:pPr>
              <w:ind w:firstLine="420" w:firstLineChars="200"/>
              <w:rPr>
                <w:sz w:val="21"/>
                <w:szCs w:val="21"/>
              </w:rPr>
            </w:pPr>
            <w:r>
              <w:rPr>
                <w:rFonts w:hint="eastAsia"/>
                <w:sz w:val="21"/>
                <w:szCs w:val="21"/>
              </w:rPr>
              <w:t>11）负责对环境、安全健康方面的不符合进行纠正和预防措施的跟踪、验证工作；</w:t>
            </w:r>
          </w:p>
          <w:p>
            <w:pPr>
              <w:ind w:firstLine="420" w:firstLineChars="200"/>
              <w:rPr>
                <w:sz w:val="21"/>
                <w:szCs w:val="21"/>
              </w:rPr>
            </w:pPr>
            <w:r>
              <w:rPr>
                <w:rFonts w:hint="eastAsia"/>
                <w:sz w:val="21"/>
                <w:szCs w:val="21"/>
              </w:rPr>
              <w:t>12）收集、整理和保管本部门的质量记录、对相关的数据收集传递和交流；</w:t>
            </w:r>
          </w:p>
          <w:p>
            <w:pPr>
              <w:ind w:firstLine="420" w:firstLineChars="200"/>
              <w:rPr>
                <w:sz w:val="21"/>
                <w:szCs w:val="21"/>
              </w:rPr>
            </w:pPr>
            <w:r>
              <w:rPr>
                <w:rFonts w:hint="eastAsia"/>
                <w:sz w:val="21"/>
                <w:szCs w:val="21"/>
              </w:rPr>
              <w:t>13）公司固定资产（基础设施）账务管理；</w:t>
            </w:r>
          </w:p>
          <w:p>
            <w:pPr>
              <w:ind w:firstLine="420" w:firstLineChars="200"/>
              <w:rPr>
                <w:sz w:val="21"/>
                <w:szCs w:val="21"/>
              </w:rPr>
            </w:pPr>
            <w:r>
              <w:rPr>
                <w:rFonts w:hint="eastAsia"/>
                <w:sz w:val="21"/>
                <w:szCs w:val="21"/>
              </w:rPr>
              <w:t>14）参与质量、环境、职业健康安全管理方案中的经济、技术、成本分析活动；</w:t>
            </w:r>
          </w:p>
          <w:p>
            <w:pPr>
              <w:ind w:firstLine="420" w:firstLineChars="200"/>
              <w:rPr>
                <w:rFonts w:hint="eastAsia"/>
                <w:sz w:val="21"/>
                <w:szCs w:val="21"/>
              </w:rPr>
            </w:pPr>
            <w:r>
              <w:rPr>
                <w:rFonts w:hint="eastAsia"/>
                <w:sz w:val="21"/>
                <w:szCs w:val="21"/>
              </w:rPr>
              <w:t>16）为建立、实施并持续改进管理体系提供资金支持。手册中职能分配表已经明确规定。</w:t>
            </w:r>
          </w:p>
          <w:p>
            <w:pPr>
              <w:ind w:firstLine="420" w:firstLineChars="200"/>
              <w:rPr>
                <w:rFonts w:eastAsiaTheme="minorEastAsia"/>
                <w:sz w:val="21"/>
                <w:szCs w:val="21"/>
              </w:rPr>
            </w:pPr>
            <w:r>
              <w:rPr>
                <w:rFonts w:hint="eastAsia"/>
                <w:sz w:val="21"/>
                <w:szCs w:val="21"/>
              </w:rPr>
              <w:t>职责明确，回答基本正确，沟通顺畅。</w:t>
            </w:r>
          </w:p>
        </w:tc>
        <w:tc>
          <w:tcPr>
            <w:tcW w:w="1585" w:type="dxa"/>
          </w:tcPr>
          <w:p>
            <w:pPr>
              <w:spacing w:line="360" w:lineRule="auto"/>
              <w:rPr>
                <w:rFonts w:hint="eastAsia" w:eastAsiaTheme="minorEastAsia"/>
                <w:sz w:val="21"/>
                <w:szCs w:val="21"/>
                <w:lang w:val="en-US" w:eastAsia="zh-CN"/>
              </w:rPr>
            </w:pPr>
            <w:r>
              <w:rPr>
                <w:rFonts w:hint="eastAsia" w:eastAsia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eastAsiaTheme="minorEastAsia"/>
                <w:sz w:val="21"/>
                <w:szCs w:val="21"/>
              </w:rPr>
            </w:pPr>
            <w:r>
              <w:rPr>
                <w:rFonts w:hAnsiTheme="minorEastAsia" w:eastAsiaTheme="minorEastAsia"/>
                <w:sz w:val="21"/>
                <w:szCs w:val="21"/>
              </w:rPr>
              <w:t>目标和方案</w:t>
            </w:r>
          </w:p>
        </w:tc>
        <w:tc>
          <w:tcPr>
            <w:tcW w:w="1276" w:type="dxa"/>
            <w:vAlign w:val="center"/>
          </w:tcPr>
          <w:p>
            <w:pPr>
              <w:spacing w:line="360" w:lineRule="auto"/>
              <w:rPr>
                <w:rFonts w:eastAsiaTheme="minorEastAsia"/>
                <w:sz w:val="21"/>
                <w:szCs w:val="21"/>
              </w:rPr>
            </w:pPr>
            <w:r>
              <w:rPr>
                <w:rFonts w:eastAsiaTheme="minorEastAsia"/>
                <w:sz w:val="21"/>
                <w:szCs w:val="21"/>
              </w:rPr>
              <w:t>E6.2</w:t>
            </w:r>
          </w:p>
          <w:p>
            <w:pPr>
              <w:spacing w:line="360" w:lineRule="auto"/>
              <w:rPr>
                <w:rFonts w:eastAsiaTheme="minorEastAsia"/>
                <w:sz w:val="21"/>
                <w:szCs w:val="21"/>
              </w:rPr>
            </w:pPr>
            <w:r>
              <w:rPr>
                <w:rFonts w:eastAsiaTheme="minorEastAsia"/>
                <w:sz w:val="21"/>
                <w:szCs w:val="21"/>
              </w:rPr>
              <w:t>O6.2</w:t>
            </w:r>
          </w:p>
        </w:tc>
        <w:tc>
          <w:tcPr>
            <w:tcW w:w="10606" w:type="dxa"/>
            <w:vAlign w:val="center"/>
          </w:tcPr>
          <w:p>
            <w:pPr>
              <w:ind w:firstLine="420" w:firstLineChars="200"/>
              <w:rPr>
                <w:rFonts w:ascii="宋体" w:hAnsi="宋体" w:cs="宋体"/>
                <w:sz w:val="21"/>
                <w:szCs w:val="21"/>
              </w:rPr>
            </w:pPr>
            <w:r>
              <w:rPr>
                <w:rFonts w:hint="eastAsia" w:ascii="宋体" w:hAnsi="宋体" w:cs="宋体"/>
                <w:sz w:val="21"/>
                <w:szCs w:val="21"/>
              </w:rPr>
              <w:t>部门目标：                                           20</w:t>
            </w:r>
            <w:r>
              <w:rPr>
                <w:rFonts w:hint="eastAsia" w:ascii="宋体" w:hAnsi="宋体" w:cs="宋体"/>
                <w:sz w:val="21"/>
                <w:szCs w:val="21"/>
                <w:lang w:val="en-US" w:eastAsia="zh-CN"/>
              </w:rPr>
              <w:t>21</w:t>
            </w:r>
            <w:r>
              <w:rPr>
                <w:rFonts w:hint="eastAsia" w:ascii="宋体" w:hAnsi="宋体" w:cs="宋体"/>
                <w:sz w:val="21"/>
                <w:szCs w:val="21"/>
              </w:rPr>
              <w:t>年</w:t>
            </w:r>
            <w:r>
              <w:rPr>
                <w:rFonts w:hint="eastAsia" w:ascii="宋体" w:hAnsi="宋体" w:cs="宋体"/>
                <w:sz w:val="21"/>
                <w:szCs w:val="21"/>
                <w:lang w:val="en-US" w:eastAsia="zh-CN"/>
              </w:rPr>
              <w:t>2</w:t>
            </w:r>
            <w:r>
              <w:rPr>
                <w:rFonts w:hint="eastAsia" w:ascii="宋体" w:hAnsi="宋体" w:cs="宋体"/>
                <w:sz w:val="21"/>
                <w:szCs w:val="21"/>
              </w:rPr>
              <w:t>月考核情况</w:t>
            </w:r>
          </w:p>
          <w:p>
            <w:pPr>
              <w:ind w:firstLine="420" w:firstLineChars="200"/>
              <w:rPr>
                <w:rFonts w:ascii="宋体" w:hAnsi="宋体" w:cs="宋体"/>
                <w:sz w:val="21"/>
                <w:szCs w:val="21"/>
              </w:rPr>
            </w:pPr>
            <w:r>
              <w:rPr>
                <w:rFonts w:hint="eastAsia" w:ascii="宋体" w:hAnsi="宋体" w:cs="宋体"/>
                <w:sz w:val="21"/>
                <w:szCs w:val="21"/>
              </w:rPr>
              <w:t>文件发放、回收准确率100%；                                100%</w:t>
            </w:r>
          </w:p>
          <w:p>
            <w:pPr>
              <w:ind w:firstLine="420" w:firstLineChars="200"/>
              <w:rPr>
                <w:rFonts w:ascii="宋体" w:hAnsi="宋体" w:cs="宋体"/>
                <w:sz w:val="21"/>
                <w:szCs w:val="21"/>
              </w:rPr>
            </w:pPr>
            <w:r>
              <w:rPr>
                <w:rFonts w:hint="eastAsia" w:ascii="宋体" w:hAnsi="宋体" w:cs="宋体"/>
                <w:sz w:val="21"/>
                <w:szCs w:val="21"/>
              </w:rPr>
              <w:t>培训计划按时完成率100%；                                   100%</w:t>
            </w:r>
          </w:p>
          <w:p>
            <w:pPr>
              <w:ind w:firstLine="420" w:firstLineChars="200"/>
              <w:rPr>
                <w:rFonts w:ascii="宋体" w:hAnsi="宋体" w:cs="宋体"/>
                <w:sz w:val="21"/>
                <w:szCs w:val="21"/>
              </w:rPr>
            </w:pPr>
            <w:r>
              <w:rPr>
                <w:rFonts w:hint="eastAsia" w:ascii="宋体" w:hAnsi="宋体" w:cs="宋体"/>
                <w:sz w:val="21"/>
                <w:szCs w:val="21"/>
              </w:rPr>
              <w:t>公司员工健康检查完成率100%；                               100%</w:t>
            </w:r>
          </w:p>
          <w:p>
            <w:pPr>
              <w:ind w:firstLine="420" w:firstLineChars="200"/>
              <w:rPr>
                <w:rFonts w:ascii="宋体" w:hAnsi="宋体" w:cs="宋体"/>
                <w:sz w:val="21"/>
                <w:szCs w:val="21"/>
              </w:rPr>
            </w:pPr>
            <w:r>
              <w:rPr>
                <w:rFonts w:hint="eastAsia" w:ascii="宋体" w:hAnsi="宋体" w:cs="宋体"/>
                <w:sz w:val="21"/>
                <w:szCs w:val="21"/>
              </w:rPr>
              <w:t>环境污染事故为零；                                           0</w:t>
            </w:r>
          </w:p>
          <w:p>
            <w:pPr>
              <w:ind w:firstLine="420" w:firstLineChars="200"/>
              <w:rPr>
                <w:sz w:val="21"/>
                <w:szCs w:val="21"/>
              </w:rPr>
            </w:pPr>
            <w:r>
              <w:rPr>
                <w:rFonts w:hint="eastAsia" w:ascii="宋体" w:hAnsi="宋体" w:cs="宋体"/>
                <w:sz w:val="21"/>
                <w:szCs w:val="21"/>
              </w:rPr>
              <w:t>安全事故为零。</w:t>
            </w:r>
            <w:r>
              <w:rPr>
                <w:rFonts w:hint="eastAsia"/>
                <w:sz w:val="21"/>
                <w:szCs w:val="21"/>
              </w:rPr>
              <w:t xml:space="preserve">                                               0</w:t>
            </w:r>
          </w:p>
          <w:p>
            <w:pPr>
              <w:ind w:left="210" w:leftChars="100" w:firstLine="210" w:firstLineChars="100"/>
              <w:rPr>
                <w:rFonts w:ascii="宋体" w:hAnsi="宋体" w:cs="宋体"/>
                <w:sz w:val="21"/>
                <w:szCs w:val="21"/>
              </w:rPr>
            </w:pPr>
            <w:r>
              <w:rPr>
                <w:rFonts w:hint="eastAsia" w:ascii="宋体" w:hAnsi="宋体" w:cs="宋体"/>
                <w:sz w:val="21"/>
                <w:szCs w:val="21"/>
              </w:rPr>
              <w:t>环境和职业健康安全体系建立了管理方案，查管理方案表：</w:t>
            </w:r>
          </w:p>
          <w:p>
            <w:pPr>
              <w:ind w:left="210" w:leftChars="100" w:firstLine="210" w:firstLineChars="100"/>
              <w:rPr>
                <w:rFonts w:ascii="宋体" w:hAnsi="宋体" w:cs="宋体"/>
                <w:sz w:val="21"/>
                <w:szCs w:val="21"/>
              </w:rPr>
            </w:pPr>
            <w:r>
              <w:rPr>
                <w:rFonts w:hint="eastAsia" w:ascii="宋体" w:hAnsi="宋体" w:cs="宋体"/>
                <w:sz w:val="21"/>
                <w:szCs w:val="21"/>
              </w:rPr>
              <w:t xml:space="preserve"> 1、办公用硒鼓、墨盒等固废等原材料废弃物等分类收集保管，交由相应部门处置；</w:t>
            </w:r>
          </w:p>
          <w:p>
            <w:pPr>
              <w:ind w:firstLine="420" w:firstLineChars="200"/>
              <w:rPr>
                <w:rFonts w:ascii="宋体" w:hAnsi="宋体" w:cs="宋体"/>
                <w:sz w:val="21"/>
                <w:szCs w:val="21"/>
              </w:rPr>
            </w:pPr>
            <w:r>
              <w:rPr>
                <w:rFonts w:hint="eastAsia" w:ascii="宋体" w:hAnsi="宋体" w:cs="宋体"/>
                <w:sz w:val="21"/>
                <w:szCs w:val="21"/>
              </w:rPr>
              <w:t>2、杜绝火灾发生，制定了管理方案并严格执行，</w:t>
            </w:r>
            <w:r>
              <w:rPr>
                <w:rFonts w:ascii="宋体" w:hAnsi="宋体" w:cs="宋体"/>
                <w:sz w:val="21"/>
                <w:szCs w:val="21"/>
              </w:rPr>
              <w:t>a</w:t>
            </w:r>
            <w:r>
              <w:rPr>
                <w:rFonts w:hint="eastAsia" w:ascii="宋体" w:hAnsi="宋体" w:cs="宋体"/>
                <w:sz w:val="21"/>
                <w:szCs w:val="21"/>
                <w:lang w:val="en-US" w:eastAsia="zh-CN"/>
              </w:rPr>
              <w:t>.</w:t>
            </w:r>
            <w:r>
              <w:rPr>
                <w:rFonts w:hint="eastAsia" w:ascii="宋体" w:hAnsi="宋体" w:cs="宋体"/>
                <w:sz w:val="21"/>
                <w:szCs w:val="21"/>
              </w:rPr>
              <w:t>配备必要的防火设施（包括灭火器、消防栓等）并保证其完好</w:t>
            </w:r>
          </w:p>
          <w:p>
            <w:pPr>
              <w:ind w:firstLine="420" w:firstLineChars="200"/>
              <w:rPr>
                <w:rFonts w:ascii="宋体" w:hAnsi="宋体" w:cs="宋体"/>
                <w:sz w:val="21"/>
                <w:szCs w:val="21"/>
              </w:rPr>
            </w:pPr>
            <w:r>
              <w:rPr>
                <w:rFonts w:ascii="宋体" w:hAnsi="宋体" w:cs="宋体"/>
                <w:sz w:val="21"/>
                <w:szCs w:val="21"/>
              </w:rPr>
              <w:t>b</w:t>
            </w:r>
            <w:r>
              <w:rPr>
                <w:rFonts w:hint="eastAsia" w:ascii="宋体" w:hAnsi="宋体" w:cs="宋体"/>
                <w:sz w:val="21"/>
                <w:szCs w:val="21"/>
              </w:rPr>
              <w:t>. 成立应急响应工作小组（见《应急预案》）</w:t>
            </w:r>
          </w:p>
          <w:p>
            <w:pPr>
              <w:ind w:firstLine="420" w:firstLineChars="200"/>
              <w:rPr>
                <w:rFonts w:ascii="宋体" w:hAnsi="宋体"/>
                <w:sz w:val="21"/>
                <w:szCs w:val="21"/>
              </w:rPr>
            </w:pPr>
            <w:r>
              <w:rPr>
                <w:rFonts w:ascii="宋体" w:hAnsi="宋体" w:cs="宋体"/>
                <w:sz w:val="21"/>
                <w:szCs w:val="21"/>
              </w:rPr>
              <w:t>c</w:t>
            </w:r>
            <w:r>
              <w:rPr>
                <w:rFonts w:hint="eastAsia" w:ascii="宋体" w:hAnsi="宋体" w:cs="宋体"/>
                <w:sz w:val="21"/>
                <w:szCs w:val="21"/>
              </w:rPr>
              <w:t>. 淘汰过期、报废设备,对灭火器更新；每年进行一次消防演习。执行部门：各部门，检查人：白蕊 ，责任部门：</w:t>
            </w:r>
            <w:r>
              <w:rPr>
                <w:rFonts w:hint="eastAsia" w:ascii="宋体" w:hAnsi="宋体"/>
                <w:sz w:val="21"/>
                <w:szCs w:val="21"/>
              </w:rPr>
              <w:t>综合部</w:t>
            </w:r>
            <w:r>
              <w:rPr>
                <w:rFonts w:hint="eastAsia" w:ascii="宋体" w:hAnsi="宋体" w:cs="宋体"/>
                <w:sz w:val="21"/>
                <w:szCs w:val="21"/>
              </w:rPr>
              <w:t>，执行日期：</w:t>
            </w:r>
            <w:r>
              <w:rPr>
                <w:rFonts w:hint="eastAsia" w:ascii="宋体" w:hAnsi="宋体"/>
                <w:sz w:val="21"/>
                <w:szCs w:val="21"/>
              </w:rPr>
              <w:t>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12</w:t>
            </w:r>
            <w:r>
              <w:rPr>
                <w:rFonts w:hint="eastAsia" w:ascii="宋体" w:hAnsi="宋体"/>
                <w:sz w:val="21"/>
                <w:szCs w:val="21"/>
              </w:rPr>
              <w:t>月-202</w:t>
            </w:r>
            <w:r>
              <w:rPr>
                <w:rFonts w:hint="eastAsia" w:ascii="宋体" w:hAnsi="宋体"/>
                <w:sz w:val="21"/>
                <w:szCs w:val="21"/>
                <w:lang w:val="en-US" w:eastAsia="zh-CN"/>
              </w:rPr>
              <w:t>1</w:t>
            </w:r>
            <w:r>
              <w:rPr>
                <w:rFonts w:hint="eastAsia" w:ascii="宋体" w:hAnsi="宋体"/>
                <w:sz w:val="21"/>
                <w:szCs w:val="21"/>
              </w:rPr>
              <w:t>-年</w:t>
            </w:r>
            <w:r>
              <w:rPr>
                <w:rFonts w:hint="eastAsia" w:ascii="宋体" w:hAnsi="宋体"/>
                <w:sz w:val="21"/>
                <w:szCs w:val="21"/>
                <w:lang w:val="en-US" w:eastAsia="zh-CN"/>
              </w:rPr>
              <w:t>12</w:t>
            </w:r>
            <w:r>
              <w:rPr>
                <w:rFonts w:hint="eastAsia" w:ascii="宋体" w:hAnsi="宋体"/>
                <w:sz w:val="21"/>
                <w:szCs w:val="21"/>
              </w:rPr>
              <w:t>月</w:t>
            </w:r>
          </w:p>
          <w:p>
            <w:pPr>
              <w:ind w:firstLine="420" w:firstLineChars="200"/>
              <w:rPr>
                <w:rFonts w:ascii="宋体" w:hAnsi="宋体"/>
                <w:sz w:val="21"/>
                <w:szCs w:val="21"/>
              </w:rPr>
            </w:pPr>
            <w:r>
              <w:rPr>
                <w:rFonts w:hint="eastAsia" w:ascii="宋体" w:hAnsi="宋体" w:cs="宋体"/>
                <w:sz w:val="21"/>
                <w:szCs w:val="21"/>
              </w:rPr>
              <w:t>3、电线老化引发火灾、临时接电触电</w:t>
            </w:r>
            <w:r>
              <w:rPr>
                <w:rFonts w:ascii="宋体" w:hAnsi="宋体" w:cs="宋体"/>
                <w:sz w:val="21"/>
                <w:szCs w:val="21"/>
              </w:rPr>
              <w:t>,</w:t>
            </w:r>
            <w:r>
              <w:rPr>
                <w:rFonts w:hint="eastAsia" w:ascii="宋体" w:hAnsi="宋体" w:cs="宋体"/>
                <w:sz w:val="21"/>
                <w:szCs w:val="21"/>
              </w:rPr>
              <w:t>管理方案：</w:t>
            </w:r>
            <w:r>
              <w:rPr>
                <w:rFonts w:ascii="宋体" w:hAnsi="宋体" w:cs="宋体"/>
                <w:sz w:val="21"/>
                <w:szCs w:val="21"/>
              </w:rPr>
              <w:t>a</w:t>
            </w:r>
            <w:r>
              <w:rPr>
                <w:rFonts w:hint="eastAsia" w:ascii="宋体" w:hAnsi="宋体" w:cs="宋体"/>
                <w:sz w:val="21"/>
                <w:szCs w:val="21"/>
              </w:rPr>
              <w:t xml:space="preserve">、电线检修  </w:t>
            </w:r>
            <w:r>
              <w:rPr>
                <w:rFonts w:ascii="宋体" w:hAnsi="宋体" w:cs="宋体"/>
                <w:sz w:val="21"/>
                <w:szCs w:val="21"/>
              </w:rPr>
              <w:t>b</w:t>
            </w:r>
            <w:r>
              <w:rPr>
                <w:rFonts w:hint="eastAsia" w:ascii="宋体" w:hAnsi="宋体" w:cs="宋体"/>
                <w:sz w:val="21"/>
                <w:szCs w:val="21"/>
              </w:rPr>
              <w:t>、对职工进行安全教育培训。执行部门：各部门，责任人：</w:t>
            </w:r>
            <w:r>
              <w:rPr>
                <w:rFonts w:hint="eastAsia" w:ascii="宋体" w:hAnsi="宋体"/>
                <w:sz w:val="21"/>
                <w:szCs w:val="21"/>
              </w:rPr>
              <w:t>白蕊 、</w:t>
            </w:r>
            <w:r>
              <w:rPr>
                <w:rFonts w:hint="eastAsia" w:ascii="宋体" w:hAnsi="宋体" w:cs="宋体"/>
                <w:sz w:val="21"/>
                <w:szCs w:val="21"/>
              </w:rPr>
              <w:t>执行日期：</w:t>
            </w:r>
            <w:r>
              <w:rPr>
                <w:rFonts w:hint="eastAsia" w:ascii="宋体" w:hAnsi="宋体"/>
                <w:sz w:val="21"/>
                <w:szCs w:val="21"/>
              </w:rPr>
              <w:t>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12</w:t>
            </w:r>
            <w:r>
              <w:rPr>
                <w:rFonts w:hint="eastAsia" w:ascii="宋体" w:hAnsi="宋体"/>
                <w:sz w:val="21"/>
                <w:szCs w:val="21"/>
              </w:rPr>
              <w:t>月-202</w:t>
            </w:r>
            <w:r>
              <w:rPr>
                <w:rFonts w:hint="eastAsia" w:ascii="宋体" w:hAnsi="宋体"/>
                <w:sz w:val="21"/>
                <w:szCs w:val="21"/>
                <w:lang w:val="en-US" w:eastAsia="zh-CN"/>
              </w:rPr>
              <w:t>1</w:t>
            </w:r>
            <w:r>
              <w:rPr>
                <w:rFonts w:hint="eastAsia" w:ascii="宋体" w:hAnsi="宋体"/>
                <w:sz w:val="21"/>
                <w:szCs w:val="21"/>
              </w:rPr>
              <w:t>-年</w:t>
            </w:r>
            <w:r>
              <w:rPr>
                <w:rFonts w:hint="eastAsia" w:ascii="宋体" w:hAnsi="宋体"/>
                <w:sz w:val="21"/>
                <w:szCs w:val="21"/>
                <w:lang w:val="en-US" w:eastAsia="zh-CN"/>
              </w:rPr>
              <w:t>1</w:t>
            </w:r>
            <w:r>
              <w:rPr>
                <w:rFonts w:hint="eastAsia" w:ascii="宋体" w:hAnsi="宋体"/>
                <w:sz w:val="21"/>
                <w:szCs w:val="21"/>
              </w:rPr>
              <w:t>2月。</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上述目标、指标</w:t>
            </w:r>
            <w:r>
              <w:rPr>
                <w:rFonts w:hint="eastAsia" w:ascii="宋体" w:hAnsi="宋体" w:cs="宋体"/>
                <w:sz w:val="21"/>
                <w:szCs w:val="21"/>
                <w:lang w:val="en-US" w:eastAsia="zh-CN"/>
              </w:rPr>
              <w:t>每月</w:t>
            </w:r>
            <w:r>
              <w:rPr>
                <w:rFonts w:hint="eastAsia" w:ascii="宋体" w:hAnsi="宋体" w:cs="宋体"/>
                <w:sz w:val="21"/>
                <w:szCs w:val="21"/>
              </w:rPr>
              <w:t>进行考核，考核结果：全部达标，检查人：白蕊 。制定的指标和管理方案基本可行。</w:t>
            </w:r>
          </w:p>
          <w:p>
            <w:pPr>
              <w:spacing w:line="360" w:lineRule="auto"/>
              <w:ind w:firstLine="420" w:firstLineChars="200"/>
              <w:rPr>
                <w:rFonts w:hAnsiTheme="minorEastAsia" w:eastAsiaTheme="minorEastAsia"/>
                <w:sz w:val="21"/>
                <w:szCs w:val="21"/>
              </w:rPr>
            </w:pPr>
            <w:r>
              <w:rPr>
                <w:rFonts w:hAnsiTheme="minorEastAsia" w:eastAsiaTheme="minorEastAsia"/>
                <w:sz w:val="21"/>
                <w:szCs w:val="21"/>
              </w:rPr>
              <w:t>管理方案由责任部门组织实施，目前在实施中，部分已完成。</w:t>
            </w:r>
          </w:p>
        </w:tc>
        <w:tc>
          <w:tcPr>
            <w:tcW w:w="1585" w:type="dxa"/>
          </w:tcPr>
          <w:p>
            <w:pPr>
              <w:spacing w:line="360" w:lineRule="auto"/>
              <w:rPr>
                <w:rFonts w:eastAsiaTheme="minorEastAsia"/>
                <w:sz w:val="21"/>
                <w:szCs w:val="21"/>
                <w:highlight w:val="yellow"/>
              </w:rPr>
            </w:pPr>
            <w:r>
              <w:rPr>
                <w:rFonts w:hint="eastAsia" w:eastAsia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42" w:type="dxa"/>
            <w:vAlign w:val="center"/>
          </w:tcPr>
          <w:p>
            <w:pPr>
              <w:spacing w:line="360" w:lineRule="auto"/>
              <w:rPr>
                <w:rFonts w:eastAsiaTheme="minorEastAsia"/>
                <w:sz w:val="21"/>
                <w:szCs w:val="21"/>
              </w:rPr>
            </w:pPr>
            <w:r>
              <w:rPr>
                <w:rFonts w:hAnsiTheme="minorEastAsia" w:eastAsiaTheme="minorEastAsia"/>
                <w:sz w:val="21"/>
                <w:szCs w:val="21"/>
              </w:rPr>
              <w:t>人力资源、能力、意识</w:t>
            </w:r>
          </w:p>
        </w:tc>
        <w:tc>
          <w:tcPr>
            <w:tcW w:w="1276" w:type="dxa"/>
          </w:tcPr>
          <w:p>
            <w:pPr>
              <w:spacing w:line="360" w:lineRule="auto"/>
              <w:rPr>
                <w:rFonts w:eastAsiaTheme="minorEastAsia"/>
                <w:sz w:val="21"/>
                <w:szCs w:val="21"/>
              </w:rPr>
            </w:pPr>
            <w:r>
              <w:rPr>
                <w:rFonts w:eastAsiaTheme="minorEastAsia"/>
                <w:sz w:val="21"/>
                <w:szCs w:val="21"/>
              </w:rPr>
              <w:t>E7.2</w:t>
            </w:r>
            <w:r>
              <w:rPr>
                <w:rFonts w:hAnsiTheme="minorEastAsia" w:eastAsiaTheme="minorEastAsia"/>
                <w:sz w:val="21"/>
                <w:szCs w:val="21"/>
              </w:rPr>
              <w:t>、</w:t>
            </w:r>
            <w:r>
              <w:rPr>
                <w:rFonts w:eastAsiaTheme="minorEastAsia"/>
                <w:sz w:val="21"/>
                <w:szCs w:val="21"/>
              </w:rPr>
              <w:t>7.3</w:t>
            </w:r>
          </w:p>
          <w:p>
            <w:pPr>
              <w:spacing w:line="360" w:lineRule="auto"/>
              <w:rPr>
                <w:rFonts w:eastAsiaTheme="minorEastAsia"/>
                <w:sz w:val="21"/>
                <w:szCs w:val="21"/>
              </w:rPr>
            </w:pPr>
            <w:r>
              <w:rPr>
                <w:rFonts w:eastAsiaTheme="minorEastAsia"/>
                <w:sz w:val="21"/>
                <w:szCs w:val="21"/>
              </w:rPr>
              <w:t>O7.2</w:t>
            </w:r>
            <w:r>
              <w:rPr>
                <w:rFonts w:hAnsiTheme="minorEastAsia" w:eastAsiaTheme="minorEastAsia"/>
                <w:sz w:val="21"/>
                <w:szCs w:val="21"/>
              </w:rPr>
              <w:t>、</w:t>
            </w:r>
            <w:r>
              <w:rPr>
                <w:rFonts w:eastAsiaTheme="minorEastAsia"/>
                <w:sz w:val="21"/>
                <w:szCs w:val="21"/>
              </w:rPr>
              <w:t>7.3</w:t>
            </w:r>
          </w:p>
        </w:tc>
        <w:tc>
          <w:tcPr>
            <w:tcW w:w="10606" w:type="dxa"/>
          </w:tcPr>
          <w:p>
            <w:pPr>
              <w:spacing w:line="360" w:lineRule="auto"/>
              <w:ind w:firstLine="420"/>
              <w:rPr>
                <w:rFonts w:eastAsiaTheme="minorEastAsia"/>
                <w:sz w:val="21"/>
                <w:szCs w:val="21"/>
              </w:rPr>
            </w:pPr>
            <w:r>
              <w:rPr>
                <w:rFonts w:hAnsiTheme="minorEastAsia" w:eastAsiaTheme="minorEastAsia"/>
                <w:sz w:val="21"/>
                <w:szCs w:val="21"/>
              </w:rPr>
              <w:t>编制执行《人力资源控制程序》，规定了人力资源配备、培训计划与实施，考核与认可等予以规定。</w:t>
            </w:r>
          </w:p>
          <w:p>
            <w:pPr>
              <w:spacing w:line="360" w:lineRule="auto"/>
              <w:ind w:firstLine="420"/>
              <w:rPr>
                <w:rFonts w:eastAsiaTheme="minorEastAsia"/>
                <w:sz w:val="21"/>
                <w:szCs w:val="21"/>
              </w:rPr>
            </w:pPr>
            <w:r>
              <w:rPr>
                <w:rFonts w:hAnsiTheme="minorEastAsia" w:eastAsiaTheme="minorEastAsia"/>
                <w:sz w:val="21"/>
                <w:szCs w:val="21"/>
              </w:rPr>
              <w:t>企业配置了适宜的人员：如管理人员、技术人员、销售人员、生产操作工、特种作业操作人员、检验人员、库管员等；人员配置基本满足日常管理体系运行要求。</w:t>
            </w:r>
          </w:p>
          <w:p>
            <w:pPr>
              <w:spacing w:line="360" w:lineRule="auto"/>
              <w:ind w:firstLine="420"/>
              <w:rPr>
                <w:rFonts w:eastAsiaTheme="minorEastAsia"/>
                <w:sz w:val="21"/>
                <w:szCs w:val="21"/>
              </w:rPr>
            </w:pPr>
            <w:r>
              <w:rPr>
                <w:rFonts w:hint="eastAsia" w:hAnsiTheme="minorEastAsia" w:eastAsiaTheme="minorEastAsia"/>
                <w:sz w:val="21"/>
                <w:szCs w:val="21"/>
                <w:lang w:val="en-US" w:eastAsia="zh-CN"/>
              </w:rPr>
              <w:t>综合</w:t>
            </w:r>
            <w:r>
              <w:rPr>
                <w:rFonts w:hAnsiTheme="minorEastAsia" w:eastAsiaTheme="minorEastAsia"/>
                <w:sz w:val="21"/>
                <w:szCs w:val="21"/>
              </w:rPr>
              <w:t>部对各岗位人员进行能力考核，根据结果采取措施，通常是采取培训方式。</w:t>
            </w:r>
          </w:p>
          <w:p>
            <w:pPr>
              <w:spacing w:line="360" w:lineRule="auto"/>
              <w:ind w:firstLine="420"/>
              <w:rPr>
                <w:rFonts w:eastAsiaTheme="minorEastAsia"/>
                <w:sz w:val="21"/>
                <w:szCs w:val="21"/>
                <w:highlight w:val="yellow"/>
              </w:rPr>
            </w:pPr>
            <w:r>
              <w:rPr>
                <w:rFonts w:hAnsiTheme="minorEastAsia" w:eastAsiaTheme="minorEastAsia"/>
                <w:sz w:val="21"/>
                <w:szCs w:val="21"/>
              </w:rPr>
              <w:t>查到</w:t>
            </w:r>
            <w:r>
              <w:rPr>
                <w:rFonts w:eastAsiaTheme="minorEastAsia"/>
                <w:sz w:val="21"/>
                <w:szCs w:val="21"/>
              </w:rPr>
              <w:t>“</w:t>
            </w:r>
            <w:r>
              <w:rPr>
                <w:rFonts w:hint="eastAsia" w:eastAsiaTheme="minorEastAsia"/>
                <w:sz w:val="21"/>
                <w:szCs w:val="21"/>
              </w:rPr>
              <w:t>2020</w:t>
            </w:r>
            <w:r>
              <w:rPr>
                <w:rFonts w:hAnsiTheme="minorEastAsia" w:eastAsiaTheme="minorEastAsia"/>
                <w:sz w:val="21"/>
                <w:szCs w:val="21"/>
              </w:rPr>
              <w:t>年度</w:t>
            </w:r>
            <w:r>
              <w:rPr>
                <w:rFonts w:hint="eastAsia" w:hAnsiTheme="minorEastAsia" w:eastAsiaTheme="minorEastAsia"/>
                <w:sz w:val="21"/>
                <w:szCs w:val="21"/>
                <w:lang w:val="en-US" w:eastAsia="zh-CN"/>
              </w:rPr>
              <w:t>调整</w:t>
            </w:r>
            <w:r>
              <w:rPr>
                <w:rFonts w:hAnsiTheme="minorEastAsia" w:eastAsiaTheme="minorEastAsia"/>
                <w:sz w:val="21"/>
                <w:szCs w:val="21"/>
              </w:rPr>
              <w:t>培训计划</w:t>
            </w:r>
            <w:r>
              <w:rPr>
                <w:rFonts w:eastAsiaTheme="minorEastAsia"/>
                <w:sz w:val="21"/>
                <w:szCs w:val="21"/>
              </w:rPr>
              <w:t>”</w:t>
            </w:r>
            <w:r>
              <w:rPr>
                <w:rFonts w:hAnsiTheme="minorEastAsia" w:eastAsiaTheme="minorEastAsia"/>
                <w:sz w:val="21"/>
                <w:szCs w:val="21"/>
              </w:rPr>
              <w:t>，编制</w:t>
            </w:r>
            <w:r>
              <w:rPr>
                <w:rFonts w:eastAsiaTheme="minorEastAsia"/>
                <w:sz w:val="21"/>
                <w:szCs w:val="21"/>
              </w:rPr>
              <w:t xml:space="preserve">: </w:t>
            </w:r>
            <w:r>
              <w:rPr>
                <w:rFonts w:hint="eastAsia" w:hAnsiTheme="minorEastAsia" w:eastAsiaTheme="minorEastAsia"/>
                <w:sz w:val="21"/>
                <w:szCs w:val="21"/>
                <w:lang w:val="en-US" w:eastAsia="zh-CN"/>
              </w:rPr>
              <w:t>综合</w:t>
            </w:r>
            <w:r>
              <w:rPr>
                <w:rFonts w:hAnsiTheme="minorEastAsia" w:eastAsiaTheme="minorEastAsia"/>
                <w:sz w:val="21"/>
                <w:szCs w:val="21"/>
              </w:rPr>
              <w:t>部</w:t>
            </w:r>
            <w:r>
              <w:rPr>
                <w:rFonts w:eastAsiaTheme="minorEastAsia"/>
                <w:sz w:val="21"/>
                <w:szCs w:val="21"/>
              </w:rPr>
              <w:t xml:space="preserve">  </w:t>
            </w:r>
            <w:r>
              <w:rPr>
                <w:rFonts w:hAnsiTheme="minorEastAsia" w:eastAsiaTheme="minorEastAsia"/>
                <w:sz w:val="21"/>
                <w:szCs w:val="21"/>
              </w:rPr>
              <w:t>批准</w:t>
            </w:r>
            <w:r>
              <w:rPr>
                <w:rFonts w:eastAsiaTheme="minorEastAsia"/>
                <w:sz w:val="21"/>
                <w:szCs w:val="21"/>
              </w:rPr>
              <w:t xml:space="preserve">: </w:t>
            </w:r>
            <w:r>
              <w:rPr>
                <w:rFonts w:hint="eastAsia" w:hAnsiTheme="minorEastAsia" w:eastAsiaTheme="minorEastAsia"/>
                <w:sz w:val="21"/>
                <w:szCs w:val="21"/>
                <w:lang w:val="en-US" w:eastAsia="zh-CN"/>
              </w:rPr>
              <w:t>郭玉昌</w:t>
            </w:r>
            <w:r>
              <w:rPr>
                <w:rFonts w:hAnsiTheme="minorEastAsia" w:eastAsiaTheme="minorEastAsia"/>
                <w:sz w:val="21"/>
                <w:szCs w:val="21"/>
              </w:rPr>
              <w:t>，日期</w:t>
            </w:r>
            <w:r>
              <w:rPr>
                <w:rFonts w:eastAsiaTheme="minorEastAsia"/>
                <w:sz w:val="21"/>
                <w:szCs w:val="21"/>
              </w:rPr>
              <w:t>: 20</w:t>
            </w:r>
            <w:r>
              <w:rPr>
                <w:rFonts w:hint="eastAsia" w:eastAsiaTheme="minorEastAsia"/>
                <w:sz w:val="21"/>
                <w:szCs w:val="21"/>
              </w:rPr>
              <w:t>20</w:t>
            </w:r>
            <w:r>
              <w:rPr>
                <w:rFonts w:hAnsiTheme="minorEastAsia" w:eastAsiaTheme="minorEastAsia"/>
                <w:sz w:val="21"/>
                <w:szCs w:val="21"/>
              </w:rPr>
              <w:t>年</w:t>
            </w:r>
            <w:r>
              <w:rPr>
                <w:rFonts w:hint="eastAsia" w:eastAsiaTheme="minorEastAsia"/>
                <w:sz w:val="21"/>
                <w:szCs w:val="21"/>
                <w:lang w:val="en-US" w:eastAsia="zh-CN"/>
              </w:rPr>
              <w:t>4</w:t>
            </w:r>
            <w:r>
              <w:rPr>
                <w:rFonts w:hAnsiTheme="minorEastAsia" w:eastAsiaTheme="minorEastAsia"/>
                <w:sz w:val="21"/>
                <w:szCs w:val="21"/>
              </w:rPr>
              <w:t>月</w:t>
            </w:r>
            <w:r>
              <w:rPr>
                <w:rFonts w:hint="eastAsia" w:eastAsiaTheme="minorEastAsia"/>
                <w:sz w:val="21"/>
                <w:szCs w:val="21"/>
                <w:lang w:val="en-US" w:eastAsia="zh-CN"/>
              </w:rPr>
              <w:t>12</w:t>
            </w:r>
            <w:r>
              <w:rPr>
                <w:rFonts w:hAnsiTheme="minorEastAsia" w:eastAsiaTheme="minorEastAsia"/>
                <w:sz w:val="21"/>
                <w:szCs w:val="21"/>
              </w:rPr>
              <w:t>日。培训内容涉及：标准、体系文件、内审员、岗位技能、环境、安全管理目标及方案、相关法规等。</w:t>
            </w:r>
          </w:p>
          <w:p>
            <w:pPr>
              <w:spacing w:line="360" w:lineRule="auto"/>
              <w:ind w:firstLine="420"/>
              <w:rPr>
                <w:rFonts w:eastAsiaTheme="minorEastAsia"/>
                <w:sz w:val="21"/>
                <w:szCs w:val="21"/>
              </w:rPr>
            </w:pPr>
            <w:r>
              <w:rPr>
                <w:rFonts w:hAnsiTheme="minorEastAsia" w:eastAsiaTheme="minorEastAsia"/>
                <w:sz w:val="21"/>
                <w:szCs w:val="21"/>
              </w:rPr>
              <w:t>抽查：《培训记录及培训效果评价表》，</w:t>
            </w:r>
          </w:p>
          <w:p>
            <w:pPr>
              <w:spacing w:line="360" w:lineRule="auto"/>
              <w:ind w:firstLine="420"/>
              <w:rPr>
                <w:rFonts w:eastAsiaTheme="minorEastAsia"/>
                <w:sz w:val="21"/>
                <w:szCs w:val="21"/>
              </w:rPr>
            </w:pPr>
            <w:r>
              <w:rPr>
                <w:rFonts w:eastAsiaTheme="minorEastAsia"/>
                <w:sz w:val="21"/>
                <w:szCs w:val="21"/>
              </w:rPr>
              <w:t>1</w:t>
            </w:r>
            <w:r>
              <w:rPr>
                <w:rFonts w:hAnsiTheme="minorEastAsia" w:eastAsiaTheme="minorEastAsia"/>
                <w:sz w:val="21"/>
                <w:szCs w:val="21"/>
              </w:rPr>
              <w:t>、</w:t>
            </w:r>
            <w:r>
              <w:rPr>
                <w:rFonts w:eastAsiaTheme="minorEastAsia"/>
                <w:sz w:val="21"/>
                <w:szCs w:val="21"/>
              </w:rPr>
              <w:t>2020.</w:t>
            </w:r>
            <w:r>
              <w:rPr>
                <w:rFonts w:hint="eastAsia" w:eastAsiaTheme="minorEastAsia"/>
                <w:sz w:val="21"/>
                <w:szCs w:val="21"/>
                <w:lang w:val="en-US" w:eastAsia="zh-CN"/>
              </w:rPr>
              <w:t>9</w:t>
            </w:r>
            <w:r>
              <w:rPr>
                <w:rFonts w:eastAsiaTheme="minorEastAsia"/>
                <w:sz w:val="21"/>
                <w:szCs w:val="21"/>
              </w:rPr>
              <w:t>.</w:t>
            </w:r>
            <w:r>
              <w:rPr>
                <w:rFonts w:hint="eastAsia" w:eastAsiaTheme="minorEastAsia"/>
                <w:sz w:val="21"/>
                <w:szCs w:val="21"/>
                <w:lang w:val="en-US" w:eastAsia="zh-CN"/>
              </w:rPr>
              <w:t>16</w:t>
            </w:r>
            <w:r>
              <w:rPr>
                <w:rFonts w:hAnsiTheme="minorEastAsia" w:eastAsiaTheme="minorEastAsia"/>
                <w:sz w:val="21"/>
                <w:szCs w:val="21"/>
              </w:rPr>
              <w:t>日</w:t>
            </w:r>
            <w:r>
              <w:rPr>
                <w:rFonts w:hint="eastAsia" w:hAnsiTheme="minorEastAsia" w:eastAsiaTheme="minorEastAsia"/>
                <w:sz w:val="21"/>
                <w:szCs w:val="21"/>
              </w:rPr>
              <w:t>ISO14001：2015、ISO45001：2018标准知识、概念</w:t>
            </w:r>
            <w:r>
              <w:rPr>
                <w:rFonts w:hAnsiTheme="minorEastAsia" w:eastAsiaTheme="minorEastAsia"/>
                <w:sz w:val="21"/>
                <w:szCs w:val="21"/>
              </w:rPr>
              <w:t>培训，培训方式授课，有培训内容摘要，经现场讨论考核合格。</w:t>
            </w:r>
          </w:p>
          <w:p>
            <w:pPr>
              <w:spacing w:line="360" w:lineRule="auto"/>
              <w:ind w:firstLine="420"/>
              <w:rPr>
                <w:rFonts w:eastAsiaTheme="minorEastAsia"/>
                <w:sz w:val="21"/>
                <w:szCs w:val="21"/>
              </w:rPr>
            </w:pPr>
            <w:r>
              <w:rPr>
                <w:rFonts w:eastAsiaTheme="minorEastAsia"/>
                <w:sz w:val="21"/>
                <w:szCs w:val="21"/>
              </w:rPr>
              <w:t>2</w:t>
            </w:r>
            <w:r>
              <w:rPr>
                <w:rFonts w:hAnsiTheme="minorEastAsia" w:eastAsiaTheme="minorEastAsia"/>
                <w:sz w:val="21"/>
                <w:szCs w:val="21"/>
              </w:rPr>
              <w:t>、</w:t>
            </w:r>
            <w:r>
              <w:rPr>
                <w:rFonts w:eastAsiaTheme="minorEastAsia"/>
                <w:sz w:val="21"/>
                <w:szCs w:val="21"/>
              </w:rPr>
              <w:t>2020.</w:t>
            </w:r>
            <w:r>
              <w:rPr>
                <w:rFonts w:hint="eastAsia" w:eastAsiaTheme="minorEastAsia"/>
                <w:sz w:val="21"/>
                <w:szCs w:val="21"/>
                <w:lang w:val="en-US" w:eastAsia="zh-CN"/>
              </w:rPr>
              <w:t>9</w:t>
            </w:r>
            <w:r>
              <w:rPr>
                <w:rFonts w:eastAsiaTheme="minorEastAsia"/>
                <w:sz w:val="21"/>
                <w:szCs w:val="21"/>
              </w:rPr>
              <w:t>.</w:t>
            </w:r>
            <w:r>
              <w:rPr>
                <w:rFonts w:hint="eastAsia" w:eastAsiaTheme="minorEastAsia"/>
                <w:sz w:val="21"/>
                <w:szCs w:val="21"/>
                <w:lang w:val="en-US" w:eastAsia="zh-CN"/>
              </w:rPr>
              <w:t>19</w:t>
            </w:r>
            <w:r>
              <w:rPr>
                <w:rFonts w:hAnsiTheme="minorEastAsia" w:eastAsiaTheme="minorEastAsia"/>
                <w:sz w:val="21"/>
                <w:szCs w:val="21"/>
              </w:rPr>
              <w:t>日</w:t>
            </w:r>
            <w:r>
              <w:rPr>
                <w:rFonts w:hint="eastAsia" w:hAnsiTheme="minorEastAsia" w:eastAsiaTheme="minorEastAsia"/>
                <w:sz w:val="21"/>
                <w:szCs w:val="21"/>
              </w:rPr>
              <w:t>管理体系内部检查</w:t>
            </w:r>
            <w:r>
              <w:rPr>
                <w:rFonts w:hAnsiTheme="minorEastAsia" w:eastAsiaTheme="minorEastAsia"/>
                <w:sz w:val="21"/>
                <w:szCs w:val="21"/>
              </w:rPr>
              <w:t>培训，培训方式授课，有培训内容摘要，经现场讨论考核合格。</w:t>
            </w:r>
          </w:p>
          <w:p>
            <w:pPr>
              <w:spacing w:line="360" w:lineRule="auto"/>
              <w:ind w:firstLine="420"/>
              <w:rPr>
                <w:rFonts w:hAnsiTheme="minorEastAsia" w:eastAsiaTheme="minorEastAsia"/>
                <w:sz w:val="21"/>
                <w:szCs w:val="21"/>
              </w:rPr>
            </w:pPr>
            <w:r>
              <w:rPr>
                <w:rFonts w:hint="eastAsia" w:hAnsiTheme="minorEastAsia" w:eastAsiaTheme="minorEastAsia"/>
                <w:sz w:val="21"/>
                <w:szCs w:val="21"/>
              </w:rPr>
              <w:t>另抽三级安全培训、6S管理培训、环境安全目标方案管理培训等其他培训记录，</w:t>
            </w:r>
            <w:r>
              <w:rPr>
                <w:rFonts w:hAnsiTheme="minorEastAsia" w:eastAsiaTheme="minorEastAsia"/>
                <w:sz w:val="21"/>
                <w:szCs w:val="21"/>
              </w:rPr>
              <w:t>有培训内容摘要，考核合格。</w:t>
            </w:r>
          </w:p>
          <w:p>
            <w:pPr>
              <w:spacing w:line="360" w:lineRule="auto"/>
              <w:ind w:firstLine="420"/>
              <w:rPr>
                <w:rFonts w:eastAsiaTheme="minorEastAsia"/>
                <w:sz w:val="21"/>
                <w:szCs w:val="21"/>
                <w:highlight w:val="yellow"/>
              </w:rPr>
            </w:pPr>
            <w:r>
              <w:rPr>
                <w:rFonts w:hAnsiTheme="minorEastAsia" w:eastAsiaTheme="minorEastAsia"/>
                <w:sz w:val="21"/>
                <w:szCs w:val="21"/>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autoSpaceDE w:val="0"/>
              <w:autoSpaceDN w:val="0"/>
              <w:spacing w:line="360" w:lineRule="auto"/>
              <w:ind w:firstLine="420" w:firstLineChars="200"/>
              <w:rPr>
                <w:rFonts w:eastAsiaTheme="minorEastAsia"/>
                <w:sz w:val="21"/>
                <w:szCs w:val="21"/>
              </w:rPr>
            </w:pPr>
            <w:r>
              <w:rPr>
                <w:rFonts w:hAnsiTheme="minorEastAsia" w:eastAsiaTheme="minorEastAsia"/>
                <w:sz w:val="21"/>
                <w:szCs w:val="21"/>
              </w:rPr>
              <w:t>查特种作业人员：抽查</w:t>
            </w:r>
            <w:r>
              <w:rPr>
                <w:rFonts w:hint="eastAsia" w:hAnsiTheme="minorEastAsia" w:eastAsiaTheme="minorEastAsia"/>
                <w:sz w:val="21"/>
                <w:szCs w:val="21"/>
                <w:lang w:val="en-US" w:eastAsia="zh-CN"/>
              </w:rPr>
              <w:t>电工</w:t>
            </w:r>
            <w:r>
              <w:rPr>
                <w:rFonts w:hAnsiTheme="minorEastAsia" w:eastAsiaTheme="minorEastAsia"/>
                <w:sz w:val="21"/>
                <w:szCs w:val="21"/>
              </w:rPr>
              <w:t>、</w:t>
            </w:r>
            <w:r>
              <w:rPr>
                <w:rFonts w:hint="eastAsia" w:hAnsiTheme="minorEastAsia" w:eastAsiaTheme="minorEastAsia"/>
                <w:sz w:val="21"/>
                <w:szCs w:val="21"/>
                <w:lang w:val="en-US" w:eastAsia="zh-CN"/>
              </w:rPr>
              <w:t>叉车司机</w:t>
            </w:r>
            <w:r>
              <w:rPr>
                <w:rFonts w:hAnsiTheme="minorEastAsia" w:eastAsiaTheme="minorEastAsia"/>
                <w:sz w:val="21"/>
                <w:szCs w:val="21"/>
              </w:rPr>
              <w:t>、</w:t>
            </w:r>
            <w:r>
              <w:rPr>
                <w:rFonts w:hint="eastAsia" w:hAnsiTheme="minorEastAsia" w:eastAsiaTheme="minorEastAsia"/>
                <w:sz w:val="21"/>
                <w:szCs w:val="21"/>
                <w:lang w:val="en-US" w:eastAsia="zh-CN"/>
              </w:rPr>
              <w:t>压力容器</w:t>
            </w:r>
            <w:r>
              <w:rPr>
                <w:rFonts w:hAnsiTheme="minorEastAsia" w:eastAsiaTheme="minorEastAsia"/>
                <w:sz w:val="21"/>
                <w:szCs w:val="21"/>
              </w:rPr>
              <w:t>作业人员操作资格</w:t>
            </w:r>
          </w:p>
          <w:p>
            <w:pPr>
              <w:autoSpaceDE w:val="0"/>
              <w:autoSpaceDN w:val="0"/>
              <w:spacing w:line="360" w:lineRule="auto"/>
              <w:ind w:firstLine="420" w:firstLineChars="200"/>
              <w:rPr>
                <w:rFonts w:hAnsiTheme="minorEastAsia" w:eastAsiaTheme="minorEastAsia"/>
                <w:sz w:val="21"/>
                <w:szCs w:val="21"/>
              </w:rPr>
            </w:pPr>
            <w:r>
              <w:rPr>
                <w:rFonts w:hAnsiTheme="minorEastAsia" w:eastAsiaTheme="minorEastAsia"/>
                <w:sz w:val="21"/>
                <w:szCs w:val="21"/>
              </w:rPr>
              <w:t>提供特种作业操作证，作业项目：电工作业；姓名</w:t>
            </w:r>
            <w:r>
              <w:rPr>
                <w:rFonts w:hint="eastAsia" w:hAnsiTheme="minorEastAsia" w:eastAsiaTheme="minorEastAsia"/>
                <w:sz w:val="21"/>
                <w:szCs w:val="21"/>
                <w:lang w:val="en-US" w:eastAsia="zh-CN"/>
              </w:rPr>
              <w:t>金亚军</w:t>
            </w:r>
            <w:r>
              <w:rPr>
                <w:rFonts w:hAnsiTheme="minorEastAsia" w:eastAsiaTheme="minorEastAsia"/>
                <w:sz w:val="21"/>
                <w:szCs w:val="21"/>
              </w:rPr>
              <w:t>，证件编号</w:t>
            </w:r>
            <w:r>
              <w:rPr>
                <w:rFonts w:hint="eastAsia" w:eastAsiaTheme="minorEastAsia"/>
                <w:sz w:val="21"/>
                <w:szCs w:val="21"/>
                <w:lang w:val="en-US" w:eastAsia="zh-CN"/>
              </w:rPr>
              <w:t>T420321196812170053</w:t>
            </w:r>
            <w:r>
              <w:rPr>
                <w:rFonts w:hAnsiTheme="minorEastAsia" w:eastAsiaTheme="minorEastAsia"/>
                <w:sz w:val="21"/>
                <w:szCs w:val="21"/>
              </w:rPr>
              <w:t>，有效期：</w:t>
            </w:r>
            <w:r>
              <w:rPr>
                <w:rFonts w:eastAsiaTheme="minorEastAsia"/>
                <w:sz w:val="21"/>
                <w:szCs w:val="21"/>
              </w:rPr>
              <w:t>202</w:t>
            </w:r>
            <w:r>
              <w:rPr>
                <w:rFonts w:hint="eastAsia" w:eastAsiaTheme="minorEastAsia"/>
                <w:sz w:val="21"/>
                <w:szCs w:val="21"/>
                <w:lang w:val="en-US" w:eastAsia="zh-CN"/>
              </w:rPr>
              <w:t>1</w:t>
            </w:r>
            <w:r>
              <w:rPr>
                <w:rFonts w:eastAsiaTheme="minorEastAsia"/>
                <w:sz w:val="21"/>
                <w:szCs w:val="21"/>
              </w:rPr>
              <w:t>.</w:t>
            </w:r>
            <w:r>
              <w:rPr>
                <w:rFonts w:hint="eastAsia" w:eastAsiaTheme="minorEastAsia"/>
                <w:sz w:val="21"/>
                <w:szCs w:val="21"/>
                <w:lang w:val="en-US" w:eastAsia="zh-CN"/>
              </w:rPr>
              <w:t>4</w:t>
            </w:r>
            <w:r>
              <w:rPr>
                <w:rFonts w:eastAsiaTheme="minorEastAsia"/>
                <w:sz w:val="21"/>
                <w:szCs w:val="21"/>
              </w:rPr>
              <w:t>.</w:t>
            </w:r>
            <w:r>
              <w:rPr>
                <w:rFonts w:hint="eastAsia" w:eastAsiaTheme="minorEastAsia"/>
                <w:sz w:val="21"/>
                <w:szCs w:val="21"/>
                <w:lang w:val="en-US" w:eastAsia="zh-CN"/>
              </w:rPr>
              <w:t>30</w:t>
            </w:r>
            <w:r>
              <w:rPr>
                <w:rFonts w:hAnsiTheme="minorEastAsia" w:eastAsiaTheme="minorEastAsia"/>
                <w:sz w:val="21"/>
                <w:szCs w:val="21"/>
              </w:rPr>
              <w:t>；</w:t>
            </w:r>
            <w:r>
              <w:rPr>
                <w:rFonts w:hint="eastAsia" w:hAnsiTheme="minorEastAsia" w:eastAsiaTheme="minorEastAsia"/>
                <w:sz w:val="21"/>
                <w:szCs w:val="21"/>
              </w:rPr>
              <w:t xml:space="preserve"> </w:t>
            </w:r>
          </w:p>
          <w:p>
            <w:pPr>
              <w:autoSpaceDE w:val="0"/>
              <w:autoSpaceDN w:val="0"/>
              <w:spacing w:line="360" w:lineRule="auto"/>
              <w:rPr>
                <w:rFonts w:eastAsiaTheme="minorEastAsia"/>
                <w:sz w:val="21"/>
                <w:szCs w:val="21"/>
              </w:rPr>
            </w:pPr>
            <w:r>
              <w:rPr>
                <w:rFonts w:hAnsiTheme="minorEastAsia" w:eastAsiaTheme="minorEastAsia"/>
                <w:sz w:val="21"/>
                <w:szCs w:val="21"/>
              </w:rPr>
              <w:t>提供</w:t>
            </w:r>
            <w:r>
              <w:rPr>
                <w:rFonts w:hint="eastAsia" w:hAnsiTheme="minorEastAsia" w:eastAsiaTheme="minorEastAsia"/>
                <w:sz w:val="21"/>
                <w:szCs w:val="21"/>
                <w:lang w:val="en-US" w:eastAsia="zh-CN"/>
              </w:rPr>
              <w:t>压力容器</w:t>
            </w:r>
            <w:r>
              <w:rPr>
                <w:rFonts w:hAnsiTheme="minorEastAsia" w:eastAsiaTheme="minorEastAsia"/>
                <w:sz w:val="21"/>
                <w:szCs w:val="21"/>
              </w:rPr>
              <w:t>职业资格证书，姓名</w:t>
            </w:r>
            <w:r>
              <w:rPr>
                <w:rFonts w:hint="eastAsia" w:hAnsiTheme="minorEastAsia" w:eastAsiaTheme="minorEastAsia"/>
                <w:sz w:val="21"/>
                <w:szCs w:val="21"/>
                <w:lang w:val="en-US" w:eastAsia="zh-CN"/>
              </w:rPr>
              <w:t>蒙兴富</w:t>
            </w:r>
            <w:r>
              <w:rPr>
                <w:rFonts w:hAnsiTheme="minorEastAsia" w:eastAsiaTheme="minorEastAsia"/>
                <w:sz w:val="21"/>
                <w:szCs w:val="21"/>
              </w:rPr>
              <w:t>，证件编号</w:t>
            </w:r>
            <w:r>
              <w:rPr>
                <w:rFonts w:hint="eastAsia" w:eastAsiaTheme="minorEastAsia"/>
                <w:sz w:val="21"/>
                <w:szCs w:val="21"/>
                <w:lang w:val="en-US" w:eastAsia="zh-CN"/>
              </w:rPr>
              <w:t>42032119871204418</w:t>
            </w:r>
            <w:r>
              <w:rPr>
                <w:rFonts w:hAnsiTheme="minorEastAsia" w:eastAsiaTheme="minorEastAsia"/>
                <w:sz w:val="21"/>
                <w:szCs w:val="21"/>
              </w:rPr>
              <w:t>，</w:t>
            </w:r>
            <w:r>
              <w:rPr>
                <w:rFonts w:hint="eastAsia" w:hAnsiTheme="minorEastAsia" w:eastAsiaTheme="minorEastAsia"/>
                <w:sz w:val="21"/>
                <w:szCs w:val="21"/>
                <w:lang w:val="en-US" w:eastAsia="zh-CN"/>
              </w:rPr>
              <w:t>有效</w:t>
            </w:r>
            <w:r>
              <w:rPr>
                <w:rFonts w:hAnsiTheme="minorEastAsia" w:eastAsiaTheme="minorEastAsia"/>
                <w:sz w:val="21"/>
                <w:szCs w:val="21"/>
              </w:rPr>
              <w:t>期：</w:t>
            </w:r>
            <w:r>
              <w:rPr>
                <w:rFonts w:eastAsiaTheme="minorEastAsia"/>
                <w:sz w:val="21"/>
                <w:szCs w:val="21"/>
              </w:rPr>
              <w:t>20</w:t>
            </w:r>
            <w:r>
              <w:rPr>
                <w:rFonts w:hint="eastAsia" w:eastAsiaTheme="minorEastAsia"/>
                <w:sz w:val="21"/>
                <w:szCs w:val="21"/>
                <w:lang w:val="en-US" w:eastAsia="zh-CN"/>
              </w:rPr>
              <w:t>23</w:t>
            </w:r>
            <w:r>
              <w:rPr>
                <w:rFonts w:eastAsiaTheme="minorEastAsia"/>
                <w:sz w:val="21"/>
                <w:szCs w:val="21"/>
              </w:rPr>
              <w:t>.</w:t>
            </w:r>
            <w:r>
              <w:rPr>
                <w:rFonts w:hint="eastAsia" w:eastAsiaTheme="minorEastAsia"/>
                <w:sz w:val="21"/>
                <w:szCs w:val="21"/>
                <w:lang w:val="en-US" w:eastAsia="zh-CN"/>
              </w:rPr>
              <w:t>5</w:t>
            </w:r>
            <w:r>
              <w:rPr>
                <w:rFonts w:eastAsiaTheme="minorEastAsia"/>
                <w:sz w:val="21"/>
                <w:szCs w:val="21"/>
              </w:rPr>
              <w:t>.</w:t>
            </w:r>
            <w:r>
              <w:rPr>
                <w:rFonts w:hint="eastAsia" w:eastAsiaTheme="minorEastAsia"/>
                <w:sz w:val="21"/>
                <w:szCs w:val="21"/>
                <w:lang w:val="en-US" w:eastAsia="zh-CN"/>
              </w:rPr>
              <w:t>2</w:t>
            </w:r>
            <w:r>
              <w:rPr>
                <w:rFonts w:hint="eastAsia" w:eastAsiaTheme="minorEastAsia"/>
                <w:sz w:val="21"/>
                <w:szCs w:val="21"/>
              </w:rPr>
              <w:t>4</w:t>
            </w:r>
            <w:r>
              <w:rPr>
                <w:rFonts w:hAnsiTheme="minorEastAsia" w:eastAsiaTheme="minorEastAsia"/>
                <w:sz w:val="21"/>
                <w:szCs w:val="21"/>
              </w:rPr>
              <w:t>；</w:t>
            </w:r>
          </w:p>
          <w:p>
            <w:pPr>
              <w:autoSpaceDE w:val="0"/>
              <w:autoSpaceDN w:val="0"/>
              <w:spacing w:line="360" w:lineRule="auto"/>
              <w:rPr>
                <w:rFonts w:eastAsiaTheme="minorEastAsia"/>
                <w:sz w:val="21"/>
                <w:szCs w:val="21"/>
              </w:rPr>
            </w:pPr>
            <w:r>
              <w:rPr>
                <w:rFonts w:hint="eastAsia" w:eastAsiaTheme="minorEastAsia"/>
                <w:sz w:val="21"/>
                <w:szCs w:val="21"/>
              </w:rPr>
              <w:t>提供</w:t>
            </w:r>
            <w:r>
              <w:rPr>
                <w:rFonts w:hint="eastAsia" w:eastAsiaTheme="minorEastAsia"/>
                <w:sz w:val="21"/>
                <w:szCs w:val="21"/>
                <w:lang w:val="en-US" w:eastAsia="zh-CN"/>
              </w:rPr>
              <w:t>叉车</w:t>
            </w:r>
            <w:r>
              <w:rPr>
                <w:rFonts w:hint="eastAsia" w:eastAsiaTheme="minorEastAsia"/>
                <w:sz w:val="21"/>
                <w:szCs w:val="21"/>
              </w:rPr>
              <w:t>操作证：作业人员：</w:t>
            </w:r>
            <w:r>
              <w:rPr>
                <w:rFonts w:hint="eastAsia" w:eastAsiaTheme="minorEastAsia"/>
                <w:sz w:val="21"/>
                <w:szCs w:val="21"/>
                <w:lang w:val="en-US" w:eastAsia="zh-CN"/>
              </w:rPr>
              <w:t>刘瑞东</w:t>
            </w:r>
            <w:r>
              <w:rPr>
                <w:rFonts w:hint="eastAsia" w:eastAsiaTheme="minorEastAsia"/>
                <w:sz w:val="21"/>
                <w:szCs w:val="21"/>
              </w:rPr>
              <w:t>、证书编号：</w:t>
            </w:r>
            <w:r>
              <w:rPr>
                <w:rFonts w:hint="eastAsia" w:eastAsiaTheme="minorEastAsia"/>
                <w:sz w:val="21"/>
                <w:szCs w:val="21"/>
                <w:lang w:val="en-US" w:eastAsia="zh-CN"/>
              </w:rPr>
              <w:t>420321198312053519</w:t>
            </w:r>
            <w:r>
              <w:rPr>
                <w:rFonts w:hint="eastAsia" w:eastAsiaTheme="minorEastAsia"/>
                <w:sz w:val="21"/>
                <w:szCs w:val="21"/>
              </w:rPr>
              <w:t>；有效期：202</w:t>
            </w:r>
            <w:r>
              <w:rPr>
                <w:rFonts w:hint="eastAsia" w:eastAsiaTheme="minorEastAsia"/>
                <w:sz w:val="21"/>
                <w:szCs w:val="21"/>
                <w:lang w:val="en-US" w:eastAsia="zh-CN"/>
              </w:rPr>
              <w:t>1</w:t>
            </w:r>
            <w:r>
              <w:rPr>
                <w:rFonts w:hint="eastAsia" w:eastAsiaTheme="minorEastAsia"/>
                <w:sz w:val="21"/>
                <w:szCs w:val="21"/>
              </w:rPr>
              <w:t>-</w:t>
            </w:r>
            <w:r>
              <w:rPr>
                <w:rFonts w:hint="eastAsia" w:eastAsiaTheme="minorEastAsia"/>
                <w:sz w:val="21"/>
                <w:szCs w:val="21"/>
                <w:lang w:val="en-US" w:eastAsia="zh-CN"/>
              </w:rPr>
              <w:t>10</w:t>
            </w:r>
            <w:r>
              <w:rPr>
                <w:rFonts w:hint="eastAsia" w:eastAsiaTheme="minorEastAsia"/>
                <w:sz w:val="21"/>
                <w:szCs w:val="21"/>
              </w:rPr>
              <w:t>-</w:t>
            </w:r>
            <w:r>
              <w:rPr>
                <w:rFonts w:hint="eastAsia" w:eastAsiaTheme="minorEastAsia"/>
                <w:sz w:val="21"/>
                <w:szCs w:val="21"/>
                <w:lang w:val="en-US" w:eastAsia="zh-CN"/>
              </w:rPr>
              <w:t>28</w:t>
            </w:r>
            <w:r>
              <w:rPr>
                <w:rFonts w:hint="eastAsia" w:eastAsiaTheme="minorEastAsia"/>
                <w:sz w:val="21"/>
                <w:szCs w:val="21"/>
              </w:rPr>
              <w:t>。</w:t>
            </w:r>
          </w:p>
          <w:p>
            <w:pPr>
              <w:autoSpaceDE w:val="0"/>
              <w:autoSpaceDN w:val="0"/>
              <w:spacing w:line="360" w:lineRule="auto"/>
              <w:rPr>
                <w:rFonts w:hAnsiTheme="minorEastAsia" w:eastAsiaTheme="minorEastAsia"/>
                <w:sz w:val="21"/>
                <w:szCs w:val="21"/>
              </w:rPr>
            </w:pPr>
            <w:r>
              <w:rPr>
                <w:rFonts w:hAnsiTheme="minorEastAsia" w:eastAsiaTheme="minorEastAsia"/>
                <w:sz w:val="21"/>
                <w:szCs w:val="21"/>
              </w:rPr>
              <w:t>以上见附件。</w:t>
            </w:r>
          </w:p>
          <w:p>
            <w:pPr>
              <w:autoSpaceDE w:val="0"/>
              <w:autoSpaceDN w:val="0"/>
              <w:spacing w:line="360" w:lineRule="auto"/>
              <w:rPr>
                <w:rFonts w:hAnsiTheme="minorEastAsia" w:eastAsiaTheme="minorEastAsia"/>
                <w:sz w:val="21"/>
                <w:szCs w:val="21"/>
              </w:rPr>
            </w:pPr>
          </w:p>
          <w:p>
            <w:pPr>
              <w:autoSpaceDE w:val="0"/>
              <w:autoSpaceDN w:val="0"/>
              <w:spacing w:line="360" w:lineRule="auto"/>
              <w:rPr>
                <w:rFonts w:hAnsiTheme="minorEastAsia" w:eastAsiaTheme="minorEastAsia"/>
                <w:sz w:val="21"/>
                <w:szCs w:val="21"/>
              </w:rPr>
            </w:pPr>
            <w:r>
              <w:rPr>
                <w:rFonts w:hint="eastAsia" w:eastAsiaTheme="minorEastAsia"/>
                <w:sz w:val="21"/>
                <w:szCs w:val="21"/>
                <w:lang w:eastAsia="zh-CN"/>
              </w:rPr>
              <w:drawing>
                <wp:anchor distT="0" distB="0" distL="114300" distR="114300" simplePos="0" relativeHeight="251660288" behindDoc="0" locked="0" layoutInCell="1" allowOverlap="1">
                  <wp:simplePos x="0" y="0"/>
                  <wp:positionH relativeFrom="column">
                    <wp:posOffset>3784600</wp:posOffset>
                  </wp:positionH>
                  <wp:positionV relativeFrom="paragraph">
                    <wp:posOffset>8890</wp:posOffset>
                  </wp:positionV>
                  <wp:extent cx="1732915" cy="2312035"/>
                  <wp:effectExtent l="0" t="0" r="6985" b="12065"/>
                  <wp:wrapNone/>
                  <wp:docPr id="4" name="图片 4" descr="b3bf7d49227426bffa66bb5043eb4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3bf7d49227426bffa66bb5043eb49f"/>
                          <pic:cNvPicPr>
                            <a:picLocks noChangeAspect="1"/>
                          </pic:cNvPicPr>
                        </pic:nvPicPr>
                        <pic:blipFill>
                          <a:blip r:embed="rId6"/>
                          <a:stretch>
                            <a:fillRect/>
                          </a:stretch>
                        </pic:blipFill>
                        <pic:spPr>
                          <a:xfrm>
                            <a:off x="0" y="0"/>
                            <a:ext cx="1732915" cy="2312035"/>
                          </a:xfrm>
                          <a:prstGeom prst="rect">
                            <a:avLst/>
                          </a:prstGeom>
                        </pic:spPr>
                      </pic:pic>
                    </a:graphicData>
                  </a:graphic>
                </wp:anchor>
              </w:drawing>
            </w:r>
            <w:r>
              <w:rPr>
                <w:rFonts w:hint="eastAsia" w:eastAsiaTheme="minorEastAsia"/>
                <w:sz w:val="21"/>
                <w:szCs w:val="21"/>
                <w:lang w:eastAsia="zh-CN"/>
              </w:rPr>
              <w:drawing>
                <wp:anchor distT="0" distB="0" distL="114300" distR="114300" simplePos="0" relativeHeight="251659264" behindDoc="0" locked="0" layoutInCell="1" allowOverlap="1">
                  <wp:simplePos x="0" y="0"/>
                  <wp:positionH relativeFrom="column">
                    <wp:posOffset>-31750</wp:posOffset>
                  </wp:positionH>
                  <wp:positionV relativeFrom="paragraph">
                    <wp:posOffset>26670</wp:posOffset>
                  </wp:positionV>
                  <wp:extent cx="3062605" cy="2297430"/>
                  <wp:effectExtent l="0" t="0" r="10795" b="1270"/>
                  <wp:wrapNone/>
                  <wp:docPr id="3" name="图片 3" descr="4388973418374c0a6b98ec2c947a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388973418374c0a6b98ec2c947a665"/>
                          <pic:cNvPicPr>
                            <a:picLocks noChangeAspect="1"/>
                          </pic:cNvPicPr>
                        </pic:nvPicPr>
                        <pic:blipFill>
                          <a:blip r:embed="rId7"/>
                          <a:stretch>
                            <a:fillRect/>
                          </a:stretch>
                        </pic:blipFill>
                        <pic:spPr>
                          <a:xfrm>
                            <a:off x="0" y="0"/>
                            <a:ext cx="3062605" cy="2297430"/>
                          </a:xfrm>
                          <a:prstGeom prst="rect">
                            <a:avLst/>
                          </a:prstGeom>
                        </pic:spPr>
                      </pic:pic>
                    </a:graphicData>
                  </a:graphic>
                </wp:anchor>
              </w:drawing>
            </w:r>
          </w:p>
          <w:p>
            <w:pPr>
              <w:autoSpaceDE w:val="0"/>
              <w:autoSpaceDN w:val="0"/>
              <w:spacing w:line="360" w:lineRule="auto"/>
              <w:rPr>
                <w:rFonts w:hAnsiTheme="minorEastAsia" w:eastAsiaTheme="minorEastAsia"/>
                <w:sz w:val="21"/>
                <w:szCs w:val="21"/>
              </w:rPr>
            </w:pPr>
          </w:p>
          <w:p>
            <w:pPr>
              <w:autoSpaceDE w:val="0"/>
              <w:autoSpaceDN w:val="0"/>
              <w:spacing w:line="360" w:lineRule="auto"/>
              <w:rPr>
                <w:rFonts w:hAnsiTheme="minorEastAsia" w:eastAsiaTheme="minorEastAsia"/>
                <w:sz w:val="21"/>
                <w:szCs w:val="21"/>
              </w:rPr>
            </w:pPr>
          </w:p>
          <w:p>
            <w:pPr>
              <w:autoSpaceDE w:val="0"/>
              <w:autoSpaceDN w:val="0"/>
              <w:spacing w:line="360" w:lineRule="auto"/>
              <w:rPr>
                <w:rFonts w:hAnsiTheme="minorEastAsia" w:eastAsiaTheme="minorEastAsia"/>
                <w:sz w:val="21"/>
                <w:szCs w:val="21"/>
              </w:rPr>
            </w:pPr>
          </w:p>
          <w:p>
            <w:pPr>
              <w:autoSpaceDE w:val="0"/>
              <w:autoSpaceDN w:val="0"/>
              <w:spacing w:line="360" w:lineRule="auto"/>
              <w:rPr>
                <w:rFonts w:hAnsiTheme="minorEastAsia" w:eastAsiaTheme="minorEastAsia"/>
                <w:sz w:val="21"/>
                <w:szCs w:val="21"/>
              </w:rPr>
            </w:pPr>
          </w:p>
          <w:p>
            <w:pPr>
              <w:autoSpaceDE w:val="0"/>
              <w:autoSpaceDN w:val="0"/>
              <w:spacing w:line="360" w:lineRule="auto"/>
              <w:rPr>
                <w:rFonts w:hAnsiTheme="minorEastAsia" w:eastAsiaTheme="minorEastAsia"/>
                <w:sz w:val="21"/>
                <w:szCs w:val="21"/>
              </w:rPr>
            </w:pPr>
          </w:p>
          <w:p>
            <w:pPr>
              <w:tabs>
                <w:tab w:val="left" w:pos="7801"/>
              </w:tabs>
              <w:autoSpaceDE w:val="0"/>
              <w:autoSpaceDN w:val="0"/>
              <w:spacing w:line="360" w:lineRule="auto"/>
              <w:rPr>
                <w:rFonts w:hint="eastAsia" w:hAnsiTheme="minorEastAsia" w:eastAsiaTheme="minorEastAsia"/>
                <w:sz w:val="21"/>
                <w:szCs w:val="21"/>
                <w:lang w:eastAsia="zh-CN"/>
              </w:rPr>
            </w:pPr>
            <w:r>
              <w:rPr>
                <w:rFonts w:hint="eastAsia" w:hAnsiTheme="minorEastAsia" w:eastAsiaTheme="minorEastAsia"/>
                <w:sz w:val="21"/>
                <w:szCs w:val="21"/>
                <w:lang w:eastAsia="zh-CN"/>
              </w:rPr>
              <w:tab/>
            </w:r>
          </w:p>
          <w:p>
            <w:pPr>
              <w:tabs>
                <w:tab w:val="left" w:pos="8591"/>
              </w:tabs>
              <w:autoSpaceDE w:val="0"/>
              <w:autoSpaceDN w:val="0"/>
              <w:spacing w:line="360" w:lineRule="auto"/>
              <w:jc w:val="left"/>
              <w:rPr>
                <w:rFonts w:hint="eastAsia" w:eastAsiaTheme="minorEastAsia"/>
                <w:sz w:val="21"/>
                <w:szCs w:val="21"/>
                <w:lang w:eastAsia="zh-CN"/>
              </w:rPr>
            </w:pPr>
            <w:r>
              <w:rPr>
                <w:rFonts w:hint="eastAsia" w:eastAsiaTheme="minorEastAsia"/>
                <w:sz w:val="21"/>
                <w:szCs w:val="21"/>
                <w:lang w:eastAsia="zh-CN"/>
              </w:rPr>
              <w:tab/>
            </w:r>
          </w:p>
          <w:p>
            <w:pPr>
              <w:tabs>
                <w:tab w:val="left" w:pos="6597"/>
              </w:tabs>
              <w:spacing w:line="360" w:lineRule="auto"/>
              <w:ind w:firstLine="420" w:firstLineChars="200"/>
              <w:rPr>
                <w:rFonts w:hAnsiTheme="minorEastAsia" w:eastAsiaTheme="minorEastAsia"/>
                <w:sz w:val="21"/>
                <w:szCs w:val="21"/>
              </w:rPr>
            </w:pPr>
            <w:r>
              <w:rPr>
                <w:rFonts w:hint="eastAsia" w:hAnsiTheme="minorEastAsia" w:eastAsiaTheme="minorEastAsia"/>
                <w:sz w:val="21"/>
                <w:szCs w:val="21"/>
                <w:lang w:eastAsia="zh-CN"/>
              </w:rPr>
              <w:drawing>
                <wp:anchor distT="0" distB="0" distL="114300" distR="114300" simplePos="0" relativeHeight="251662336" behindDoc="0" locked="0" layoutInCell="1" allowOverlap="1">
                  <wp:simplePos x="0" y="0"/>
                  <wp:positionH relativeFrom="column">
                    <wp:posOffset>44450</wp:posOffset>
                  </wp:positionH>
                  <wp:positionV relativeFrom="paragraph">
                    <wp:posOffset>125730</wp:posOffset>
                  </wp:positionV>
                  <wp:extent cx="1262380" cy="2805430"/>
                  <wp:effectExtent l="0" t="0" r="7620" b="1270"/>
                  <wp:wrapNone/>
                  <wp:docPr id="7" name="图片 7" descr="3f8337602a849b944a697132b4e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f8337602a849b944a697132b4e2472"/>
                          <pic:cNvPicPr>
                            <a:picLocks noChangeAspect="1"/>
                          </pic:cNvPicPr>
                        </pic:nvPicPr>
                        <pic:blipFill>
                          <a:blip r:embed="rId8"/>
                          <a:stretch>
                            <a:fillRect/>
                          </a:stretch>
                        </pic:blipFill>
                        <pic:spPr>
                          <a:xfrm>
                            <a:off x="0" y="0"/>
                            <a:ext cx="1262380" cy="2805430"/>
                          </a:xfrm>
                          <a:prstGeom prst="rect">
                            <a:avLst/>
                          </a:prstGeom>
                        </pic:spPr>
                      </pic:pic>
                    </a:graphicData>
                  </a:graphic>
                </wp:anchor>
              </w:drawing>
            </w:r>
            <w:r>
              <w:rPr>
                <w:rFonts w:hint="eastAsia" w:hAnsiTheme="minorEastAsia" w:eastAsiaTheme="minorEastAsia"/>
                <w:sz w:val="21"/>
                <w:szCs w:val="21"/>
                <w:lang w:eastAsia="zh-CN"/>
              </w:rPr>
              <w:drawing>
                <wp:anchor distT="0" distB="0" distL="114300" distR="114300" simplePos="0" relativeHeight="251663360" behindDoc="0" locked="0" layoutInCell="1" allowOverlap="1">
                  <wp:simplePos x="0" y="0"/>
                  <wp:positionH relativeFrom="column">
                    <wp:posOffset>1461135</wp:posOffset>
                  </wp:positionH>
                  <wp:positionV relativeFrom="paragraph">
                    <wp:posOffset>138430</wp:posOffset>
                  </wp:positionV>
                  <wp:extent cx="1259205" cy="2799080"/>
                  <wp:effectExtent l="0" t="0" r="10795" b="7620"/>
                  <wp:wrapNone/>
                  <wp:docPr id="8" name="图片 8" descr="c083d456311f5c75938e53366ebd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083d456311f5c75938e53366ebd2e0"/>
                          <pic:cNvPicPr>
                            <a:picLocks noChangeAspect="1"/>
                          </pic:cNvPicPr>
                        </pic:nvPicPr>
                        <pic:blipFill>
                          <a:blip r:embed="rId9"/>
                          <a:stretch>
                            <a:fillRect/>
                          </a:stretch>
                        </pic:blipFill>
                        <pic:spPr>
                          <a:xfrm>
                            <a:off x="0" y="0"/>
                            <a:ext cx="1259205" cy="2799080"/>
                          </a:xfrm>
                          <a:prstGeom prst="rect">
                            <a:avLst/>
                          </a:prstGeom>
                        </pic:spPr>
                      </pic:pic>
                    </a:graphicData>
                  </a:graphic>
                </wp:anchor>
              </w:drawing>
            </w:r>
            <w:r>
              <w:rPr>
                <w:rFonts w:hint="eastAsia" w:hAnsiTheme="minorEastAsia" w:eastAsiaTheme="minorEastAsia"/>
                <w:sz w:val="21"/>
                <w:szCs w:val="21"/>
                <w:lang w:eastAsia="zh-CN"/>
              </w:rPr>
              <w:drawing>
                <wp:anchor distT="0" distB="0" distL="114300" distR="114300" simplePos="0" relativeHeight="251661312" behindDoc="0" locked="0" layoutInCell="1" allowOverlap="1">
                  <wp:simplePos x="0" y="0"/>
                  <wp:positionH relativeFrom="column">
                    <wp:posOffset>2895600</wp:posOffset>
                  </wp:positionH>
                  <wp:positionV relativeFrom="paragraph">
                    <wp:posOffset>215900</wp:posOffset>
                  </wp:positionV>
                  <wp:extent cx="2841625" cy="2108200"/>
                  <wp:effectExtent l="0" t="0" r="3175" b="0"/>
                  <wp:wrapNone/>
                  <wp:docPr id="5" name="图片 5" descr="8a9330122eaf41fb8b32eae64d445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a9330122eaf41fb8b32eae64d4456d"/>
                          <pic:cNvPicPr>
                            <a:picLocks noChangeAspect="1"/>
                          </pic:cNvPicPr>
                        </pic:nvPicPr>
                        <pic:blipFill>
                          <a:blip r:embed="rId10"/>
                          <a:stretch>
                            <a:fillRect/>
                          </a:stretch>
                        </pic:blipFill>
                        <pic:spPr>
                          <a:xfrm>
                            <a:off x="0" y="0"/>
                            <a:ext cx="2841625" cy="2108200"/>
                          </a:xfrm>
                          <a:prstGeom prst="rect">
                            <a:avLst/>
                          </a:prstGeom>
                        </pic:spPr>
                      </pic:pic>
                    </a:graphicData>
                  </a:graphic>
                </wp:anchor>
              </w:drawing>
            </w:r>
          </w:p>
          <w:p>
            <w:pPr>
              <w:tabs>
                <w:tab w:val="left" w:pos="6597"/>
              </w:tabs>
              <w:spacing w:line="360" w:lineRule="auto"/>
              <w:ind w:firstLine="420" w:firstLineChars="200"/>
              <w:rPr>
                <w:rFonts w:hint="eastAsia" w:hAnsiTheme="minorEastAsia" w:eastAsiaTheme="minorEastAsia"/>
                <w:sz w:val="21"/>
                <w:szCs w:val="21"/>
                <w:lang w:eastAsia="zh-CN"/>
              </w:rPr>
            </w:pPr>
          </w:p>
          <w:p>
            <w:pPr>
              <w:tabs>
                <w:tab w:val="left" w:pos="6597"/>
              </w:tabs>
              <w:spacing w:line="360" w:lineRule="auto"/>
              <w:ind w:firstLine="420" w:firstLineChars="200"/>
              <w:rPr>
                <w:rFonts w:hAnsiTheme="minorEastAsia" w:eastAsiaTheme="minorEastAsia"/>
                <w:sz w:val="21"/>
                <w:szCs w:val="21"/>
              </w:rPr>
            </w:pPr>
          </w:p>
          <w:p>
            <w:pPr>
              <w:tabs>
                <w:tab w:val="left" w:pos="6597"/>
              </w:tabs>
              <w:spacing w:line="360" w:lineRule="auto"/>
              <w:ind w:firstLine="420" w:firstLineChars="200"/>
              <w:rPr>
                <w:rFonts w:hAnsiTheme="minorEastAsia" w:eastAsiaTheme="minorEastAsia"/>
                <w:sz w:val="21"/>
                <w:szCs w:val="21"/>
              </w:rPr>
            </w:pPr>
          </w:p>
          <w:p>
            <w:pPr>
              <w:tabs>
                <w:tab w:val="left" w:pos="6597"/>
              </w:tabs>
              <w:spacing w:line="360" w:lineRule="auto"/>
              <w:ind w:firstLine="420" w:firstLineChars="200"/>
              <w:rPr>
                <w:rFonts w:hAnsiTheme="minorEastAsia" w:eastAsiaTheme="minorEastAsia"/>
                <w:sz w:val="21"/>
                <w:szCs w:val="21"/>
              </w:rPr>
            </w:pPr>
          </w:p>
          <w:p>
            <w:pPr>
              <w:tabs>
                <w:tab w:val="left" w:pos="6597"/>
              </w:tabs>
              <w:spacing w:line="360" w:lineRule="auto"/>
              <w:ind w:firstLine="420" w:firstLineChars="200"/>
              <w:rPr>
                <w:rFonts w:hAnsiTheme="minorEastAsia" w:eastAsiaTheme="minorEastAsia"/>
                <w:sz w:val="21"/>
                <w:szCs w:val="21"/>
              </w:rPr>
            </w:pPr>
          </w:p>
          <w:p>
            <w:pPr>
              <w:tabs>
                <w:tab w:val="left" w:pos="6597"/>
              </w:tabs>
              <w:spacing w:line="360" w:lineRule="auto"/>
              <w:ind w:firstLine="420" w:firstLineChars="200"/>
              <w:rPr>
                <w:rFonts w:hAnsiTheme="minorEastAsia" w:eastAsiaTheme="minorEastAsia"/>
                <w:sz w:val="21"/>
                <w:szCs w:val="21"/>
              </w:rPr>
            </w:pPr>
          </w:p>
          <w:p>
            <w:pPr>
              <w:tabs>
                <w:tab w:val="left" w:pos="2581"/>
              </w:tabs>
              <w:spacing w:line="360" w:lineRule="auto"/>
              <w:ind w:firstLine="420" w:firstLineChars="200"/>
              <w:rPr>
                <w:rFonts w:hint="eastAsia" w:hAnsiTheme="minorEastAsia" w:eastAsiaTheme="minorEastAsia"/>
                <w:sz w:val="21"/>
                <w:szCs w:val="21"/>
                <w:lang w:eastAsia="zh-CN"/>
              </w:rPr>
            </w:pPr>
            <w:r>
              <w:rPr>
                <w:rFonts w:hint="eastAsia" w:hAnsiTheme="minorEastAsia" w:eastAsiaTheme="minorEastAsia"/>
                <w:sz w:val="21"/>
                <w:szCs w:val="21"/>
                <w:lang w:eastAsia="zh-CN"/>
              </w:rPr>
              <w:tab/>
            </w:r>
          </w:p>
          <w:p>
            <w:pPr>
              <w:tabs>
                <w:tab w:val="left" w:pos="6597"/>
              </w:tabs>
              <w:spacing w:line="360" w:lineRule="auto"/>
              <w:ind w:firstLine="420" w:firstLineChars="200"/>
              <w:rPr>
                <w:rFonts w:hAnsiTheme="minorEastAsia" w:eastAsiaTheme="minorEastAsia"/>
                <w:sz w:val="21"/>
                <w:szCs w:val="21"/>
              </w:rPr>
            </w:pPr>
          </w:p>
          <w:p>
            <w:pPr>
              <w:tabs>
                <w:tab w:val="left" w:pos="6597"/>
              </w:tabs>
              <w:spacing w:line="360" w:lineRule="auto"/>
              <w:rPr>
                <w:rFonts w:hAnsiTheme="minorEastAsia" w:eastAsiaTheme="minorEastAsia"/>
                <w:sz w:val="21"/>
                <w:szCs w:val="21"/>
              </w:rPr>
            </w:pPr>
          </w:p>
          <w:p>
            <w:pPr>
              <w:tabs>
                <w:tab w:val="left" w:pos="6597"/>
              </w:tabs>
              <w:spacing w:line="360" w:lineRule="auto"/>
              <w:rPr>
                <w:rFonts w:eastAsiaTheme="minorEastAsia"/>
                <w:sz w:val="21"/>
                <w:szCs w:val="21"/>
                <w:highlight w:val="yellow"/>
              </w:rPr>
            </w:pPr>
            <w:r>
              <w:rPr>
                <w:rFonts w:hAnsiTheme="minorEastAsia" w:eastAsiaTheme="minorEastAsia"/>
                <w:sz w:val="21"/>
                <w:szCs w:val="21"/>
              </w:rPr>
              <w:t>企业已对人力资源的管理、控制进行了策划，并已实施控制，针对体系知识的系统深入学习进行了现场交流。</w:t>
            </w:r>
          </w:p>
        </w:tc>
        <w:tc>
          <w:tcPr>
            <w:tcW w:w="1585" w:type="dxa"/>
          </w:tcPr>
          <w:p>
            <w:pPr>
              <w:spacing w:line="360" w:lineRule="auto"/>
              <w:rPr>
                <w:rFonts w:eastAsiaTheme="minorEastAsia"/>
                <w:sz w:val="21"/>
                <w:szCs w:val="21"/>
                <w:highlight w:val="yellow"/>
              </w:rPr>
            </w:pPr>
            <w:r>
              <w:rPr>
                <w:rFonts w:hint="eastAsia" w:eastAsia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42" w:type="dxa"/>
            <w:vAlign w:val="center"/>
          </w:tcPr>
          <w:p>
            <w:pPr>
              <w:spacing w:line="360" w:lineRule="auto"/>
              <w:rPr>
                <w:rFonts w:eastAsiaTheme="minorEastAsia"/>
                <w:sz w:val="21"/>
                <w:szCs w:val="21"/>
              </w:rPr>
            </w:pPr>
            <w:r>
              <w:rPr>
                <w:rFonts w:hAnsiTheme="minorEastAsia" w:eastAsiaTheme="minorEastAsia"/>
                <w:sz w:val="21"/>
                <w:szCs w:val="21"/>
              </w:rPr>
              <w:t>形成文件的信息</w:t>
            </w:r>
          </w:p>
        </w:tc>
        <w:tc>
          <w:tcPr>
            <w:tcW w:w="1276" w:type="dxa"/>
          </w:tcPr>
          <w:p>
            <w:pPr>
              <w:spacing w:line="360" w:lineRule="auto"/>
              <w:rPr>
                <w:rFonts w:eastAsiaTheme="minorEastAsia"/>
                <w:sz w:val="21"/>
                <w:szCs w:val="21"/>
              </w:rPr>
            </w:pPr>
            <w:r>
              <w:rPr>
                <w:rFonts w:eastAsiaTheme="minorEastAsia"/>
                <w:sz w:val="21"/>
                <w:szCs w:val="21"/>
              </w:rPr>
              <w:t>E7.5</w:t>
            </w:r>
          </w:p>
          <w:p>
            <w:pPr>
              <w:spacing w:line="360" w:lineRule="auto"/>
              <w:rPr>
                <w:rFonts w:eastAsiaTheme="minorEastAsia"/>
                <w:sz w:val="21"/>
                <w:szCs w:val="21"/>
              </w:rPr>
            </w:pPr>
            <w:r>
              <w:rPr>
                <w:rFonts w:eastAsiaTheme="minorEastAsia"/>
                <w:sz w:val="21"/>
                <w:szCs w:val="21"/>
              </w:rPr>
              <w:t>O7.5</w:t>
            </w:r>
          </w:p>
        </w:tc>
        <w:tc>
          <w:tcPr>
            <w:tcW w:w="10606" w:type="dxa"/>
          </w:tcPr>
          <w:p>
            <w:pPr>
              <w:spacing w:line="360" w:lineRule="auto"/>
              <w:ind w:firstLine="420" w:firstLineChars="200"/>
              <w:rPr>
                <w:rFonts w:eastAsiaTheme="minorEastAsia"/>
                <w:sz w:val="21"/>
                <w:szCs w:val="21"/>
              </w:rPr>
            </w:pPr>
            <w:r>
              <w:rPr>
                <w:rFonts w:hAnsiTheme="minorEastAsia" w:eastAsiaTheme="minorEastAsia"/>
                <w:sz w:val="21"/>
                <w:szCs w:val="21"/>
              </w:rPr>
              <w:t>编制了《文件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pPr>
              <w:spacing w:line="360" w:lineRule="auto"/>
              <w:ind w:firstLine="420" w:firstLineChars="200"/>
              <w:rPr>
                <w:rFonts w:eastAsiaTheme="minorEastAsia"/>
                <w:sz w:val="21"/>
                <w:szCs w:val="21"/>
              </w:rPr>
            </w:pPr>
            <w:r>
              <w:rPr>
                <w:rFonts w:hAnsiTheme="minorEastAsia" w:eastAsiaTheme="minorEastAsia"/>
                <w:sz w:val="21"/>
                <w:szCs w:val="21"/>
              </w:rPr>
              <w:t>组织策划的体系文件主要包括：《管理手册》，版本：</w:t>
            </w:r>
            <w:r>
              <w:rPr>
                <w:rFonts w:eastAsiaTheme="minorEastAsia"/>
                <w:sz w:val="21"/>
                <w:szCs w:val="21"/>
              </w:rPr>
              <w:t>A</w:t>
            </w:r>
            <w:r>
              <w:rPr>
                <w:rFonts w:hAnsiTheme="minorEastAsia" w:eastAsiaTheme="minorEastAsia"/>
                <w:sz w:val="21"/>
                <w:szCs w:val="21"/>
              </w:rPr>
              <w:t>；《环境、职业健康安全管理体系程序文件》版本：</w:t>
            </w:r>
            <w:r>
              <w:rPr>
                <w:rFonts w:eastAsiaTheme="minorEastAsia"/>
                <w:sz w:val="21"/>
                <w:szCs w:val="21"/>
              </w:rPr>
              <w:t>A</w:t>
            </w:r>
            <w:r>
              <w:rPr>
                <w:rFonts w:hAnsiTheme="minorEastAsia" w:eastAsiaTheme="minorEastAsia"/>
                <w:sz w:val="21"/>
                <w:szCs w:val="21"/>
              </w:rPr>
              <w:t>，有管理制度、操作规程，以及相关运行记录等。以上文件编制人：</w:t>
            </w:r>
            <w:r>
              <w:rPr>
                <w:rFonts w:hint="eastAsia" w:hAnsiTheme="minorEastAsia" w:eastAsiaTheme="minorEastAsia"/>
                <w:sz w:val="21"/>
                <w:szCs w:val="21"/>
                <w:lang w:val="en-US" w:eastAsia="zh-CN"/>
              </w:rPr>
              <w:t>李刚</w:t>
            </w:r>
            <w:r>
              <w:rPr>
                <w:rFonts w:hAnsiTheme="minorEastAsia" w:eastAsiaTheme="minorEastAsia"/>
                <w:sz w:val="21"/>
                <w:szCs w:val="21"/>
              </w:rPr>
              <w:t>，</w:t>
            </w:r>
            <w:r>
              <w:rPr>
                <w:rFonts w:hint="eastAsia" w:hAnsiTheme="minorEastAsia" w:eastAsiaTheme="minorEastAsia"/>
                <w:sz w:val="21"/>
                <w:szCs w:val="21"/>
                <w:lang w:val="en-US" w:eastAsia="zh-CN"/>
              </w:rPr>
              <w:t>审核：白蕊，</w:t>
            </w:r>
            <w:r>
              <w:rPr>
                <w:rFonts w:hAnsiTheme="minorEastAsia" w:eastAsiaTheme="minorEastAsia"/>
                <w:sz w:val="21"/>
                <w:szCs w:val="21"/>
              </w:rPr>
              <w:t>批准人：</w:t>
            </w:r>
            <w:r>
              <w:rPr>
                <w:rFonts w:hint="eastAsia" w:hAnsiTheme="minorEastAsia" w:eastAsiaTheme="minorEastAsia"/>
                <w:sz w:val="21"/>
                <w:szCs w:val="21"/>
                <w:lang w:val="en-US" w:eastAsia="zh-CN"/>
              </w:rPr>
              <w:t>郭华</w:t>
            </w:r>
            <w:r>
              <w:rPr>
                <w:rFonts w:hAnsiTheme="minorEastAsia" w:eastAsiaTheme="minorEastAsia"/>
                <w:sz w:val="21"/>
                <w:szCs w:val="21"/>
              </w:rPr>
              <w:t>，发布实施日期</w:t>
            </w:r>
            <w:r>
              <w:rPr>
                <w:rFonts w:eastAsiaTheme="minorEastAsia"/>
                <w:sz w:val="21"/>
                <w:szCs w:val="21"/>
              </w:rPr>
              <w:t>20</w:t>
            </w:r>
            <w:r>
              <w:rPr>
                <w:rFonts w:hint="eastAsia" w:eastAsiaTheme="minorEastAsia"/>
                <w:sz w:val="21"/>
                <w:szCs w:val="21"/>
              </w:rPr>
              <w:t>20</w:t>
            </w:r>
            <w:r>
              <w:rPr>
                <w:rFonts w:hAnsiTheme="minorEastAsia" w:eastAsiaTheme="minorEastAsia"/>
                <w:sz w:val="21"/>
                <w:szCs w:val="21"/>
              </w:rPr>
              <w:t>年</w:t>
            </w:r>
            <w:r>
              <w:rPr>
                <w:rFonts w:hint="eastAsia" w:eastAsiaTheme="minorEastAsia"/>
                <w:sz w:val="21"/>
                <w:szCs w:val="21"/>
              </w:rPr>
              <w:t>1</w:t>
            </w:r>
            <w:r>
              <w:rPr>
                <w:rFonts w:hint="eastAsia" w:eastAsiaTheme="minorEastAsia"/>
                <w:sz w:val="21"/>
                <w:szCs w:val="21"/>
                <w:lang w:val="en-US" w:eastAsia="zh-CN"/>
              </w:rPr>
              <w:t>1</w:t>
            </w:r>
            <w:r>
              <w:rPr>
                <w:rFonts w:hAnsiTheme="minorEastAsia" w:eastAsiaTheme="minorEastAsia"/>
                <w:sz w:val="21"/>
                <w:szCs w:val="21"/>
              </w:rPr>
              <w:t>月</w:t>
            </w:r>
            <w:r>
              <w:rPr>
                <w:rFonts w:hint="eastAsia" w:eastAsiaTheme="minorEastAsia"/>
                <w:sz w:val="21"/>
                <w:szCs w:val="21"/>
                <w:lang w:val="en-US" w:eastAsia="zh-CN"/>
              </w:rPr>
              <w:t>18</w:t>
            </w:r>
            <w:r>
              <w:rPr>
                <w:rFonts w:hAnsiTheme="minorEastAsia" w:eastAsiaTheme="minorEastAsia"/>
                <w:sz w:val="21"/>
                <w:szCs w:val="21"/>
              </w:rPr>
              <w:t>日。</w:t>
            </w:r>
          </w:p>
          <w:p>
            <w:pPr>
              <w:spacing w:line="360" w:lineRule="auto"/>
              <w:ind w:firstLine="420" w:firstLineChars="200"/>
              <w:rPr>
                <w:rFonts w:eastAsiaTheme="minorEastAsia"/>
                <w:sz w:val="21"/>
                <w:szCs w:val="21"/>
              </w:rPr>
            </w:pPr>
            <w:r>
              <w:rPr>
                <w:rFonts w:hAnsiTheme="minorEastAsia" w:eastAsiaTheme="minorEastAsia"/>
                <w:sz w:val="21"/>
                <w:szCs w:val="21"/>
              </w:rPr>
              <w:t>公司质量、环境、职业健康安全方针随手册一同发布，并编制目标、指标与管理方案一览表，方针目标发布经过总经理批准、评审，适宜。</w:t>
            </w:r>
          </w:p>
          <w:p>
            <w:pPr>
              <w:spacing w:line="360" w:lineRule="auto"/>
              <w:ind w:firstLine="420" w:firstLineChars="200"/>
              <w:rPr>
                <w:rFonts w:eastAsiaTheme="minorEastAsia"/>
                <w:sz w:val="21"/>
                <w:szCs w:val="21"/>
              </w:rPr>
            </w:pPr>
            <w:r>
              <w:rPr>
                <w:rFonts w:hAnsiTheme="minorEastAsia" w:eastAsiaTheme="minorEastAsia"/>
                <w:sz w:val="21"/>
                <w:szCs w:val="21"/>
              </w:rPr>
              <w:t>公司体系文件运行良好，能够满足经营需要。公司文件经过验证手册和程序文件基本符合</w:t>
            </w:r>
            <w:r>
              <w:rPr>
                <w:rFonts w:eastAsiaTheme="minorEastAsia"/>
                <w:sz w:val="21"/>
                <w:szCs w:val="21"/>
              </w:rPr>
              <w:t>ISO14001:2015</w:t>
            </w:r>
            <w:r>
              <w:rPr>
                <w:rFonts w:hAnsiTheme="minorEastAsia" w:eastAsiaTheme="minorEastAsia"/>
                <w:sz w:val="21"/>
                <w:szCs w:val="21"/>
              </w:rPr>
              <w:t>、</w:t>
            </w:r>
            <w:r>
              <w:rPr>
                <w:rFonts w:eastAsiaTheme="minorEastAsia"/>
                <w:sz w:val="21"/>
                <w:szCs w:val="21"/>
              </w:rPr>
              <w:t>ISO45001:2018</w:t>
            </w:r>
            <w:r>
              <w:rPr>
                <w:rFonts w:hAnsiTheme="minorEastAsia" w:eastAsiaTheme="minorEastAsia"/>
                <w:sz w:val="21"/>
                <w:szCs w:val="21"/>
              </w:rPr>
              <w:t>标准要求。</w:t>
            </w:r>
            <w:bookmarkStart w:id="0" w:name="_GoBack"/>
            <w:bookmarkEnd w:id="0"/>
          </w:p>
          <w:p>
            <w:pPr>
              <w:spacing w:line="360" w:lineRule="auto"/>
              <w:ind w:firstLine="420" w:firstLineChars="200"/>
              <w:rPr>
                <w:rFonts w:eastAsiaTheme="minorEastAsia"/>
                <w:sz w:val="21"/>
                <w:szCs w:val="21"/>
              </w:rPr>
            </w:pPr>
            <w:r>
              <w:rPr>
                <w:rFonts w:hAnsiTheme="minorEastAsia" w:eastAsiaTheme="minorEastAsia"/>
                <w:sz w:val="21"/>
                <w:szCs w:val="21"/>
              </w:rPr>
              <w:t>查文件发放情况：</w:t>
            </w:r>
          </w:p>
          <w:p>
            <w:pPr>
              <w:spacing w:line="360" w:lineRule="auto"/>
              <w:ind w:firstLine="420" w:firstLineChars="200"/>
              <w:rPr>
                <w:rFonts w:eastAsiaTheme="minorEastAsia"/>
                <w:sz w:val="21"/>
                <w:szCs w:val="21"/>
              </w:rPr>
            </w:pPr>
            <w:r>
              <w:rPr>
                <w:rFonts w:hAnsiTheme="minorEastAsia" w:eastAsiaTheme="minorEastAsia"/>
                <w:sz w:val="21"/>
                <w:szCs w:val="21"/>
              </w:rPr>
              <w:t>提供了《文件发放、回收登记表》，所有文件均由</w:t>
            </w:r>
            <w:r>
              <w:rPr>
                <w:rFonts w:hint="eastAsia" w:hAnsiTheme="minorEastAsia" w:eastAsiaTheme="minorEastAsia"/>
                <w:sz w:val="21"/>
                <w:szCs w:val="21"/>
                <w:lang w:val="en-US" w:eastAsia="zh-CN"/>
              </w:rPr>
              <w:t>综合</w:t>
            </w:r>
            <w:r>
              <w:rPr>
                <w:rFonts w:hAnsiTheme="minorEastAsia" w:eastAsiaTheme="minorEastAsia"/>
                <w:sz w:val="21"/>
                <w:szCs w:val="21"/>
              </w:rPr>
              <w:t>部发放，录有管理手册、程序、作业文件及标准、法律法规等外来文件。</w:t>
            </w:r>
          </w:p>
          <w:p>
            <w:pPr>
              <w:spacing w:line="360" w:lineRule="auto"/>
              <w:ind w:firstLine="420" w:firstLineChars="200"/>
              <w:rPr>
                <w:rFonts w:eastAsiaTheme="minorEastAsia"/>
                <w:sz w:val="21"/>
                <w:szCs w:val="21"/>
              </w:rPr>
            </w:pPr>
            <w:r>
              <w:rPr>
                <w:rFonts w:hAnsiTheme="minorEastAsia" w:eastAsiaTheme="minorEastAsia"/>
                <w:sz w:val="21"/>
                <w:szCs w:val="21"/>
              </w:rPr>
              <w:t>查外来文件管理：</w:t>
            </w:r>
          </w:p>
          <w:p>
            <w:pPr>
              <w:spacing w:line="360" w:lineRule="auto"/>
              <w:ind w:firstLine="420" w:firstLineChars="200"/>
              <w:rPr>
                <w:rFonts w:eastAsiaTheme="minorEastAsia"/>
                <w:sz w:val="21"/>
                <w:szCs w:val="21"/>
              </w:rPr>
            </w:pPr>
            <w:r>
              <w:rPr>
                <w:rFonts w:hAnsiTheme="minorEastAsia" w:eastAsiaTheme="minorEastAsia"/>
                <w:sz w:val="21"/>
                <w:szCs w:val="21"/>
              </w:rPr>
              <w:t>公司对外来文件及法律法规进行了收集、识别、分发、控制。外来文件采用了统一保管、借阅使用的方法进行控制。由</w:t>
            </w:r>
            <w:r>
              <w:rPr>
                <w:rFonts w:hint="eastAsia" w:hAnsiTheme="minorEastAsia" w:eastAsiaTheme="minorEastAsia"/>
                <w:sz w:val="21"/>
                <w:szCs w:val="21"/>
                <w:lang w:val="en-US" w:eastAsia="zh-CN"/>
              </w:rPr>
              <w:t>综合</w:t>
            </w:r>
            <w:r>
              <w:rPr>
                <w:rFonts w:hAnsiTheme="minorEastAsia" w:eastAsiaTheme="minorEastAsia"/>
                <w:sz w:val="21"/>
                <w:szCs w:val="21"/>
              </w:rPr>
              <w:t>部负责通过到主管部门、网上收集、标准发布部门进行购买，并对外来文件的识别、跟踪、控制。查到：《外来文件清单》、《环境法律法规及其他要求清单》、《职业健康安全法律法规及其他要求清单》，有：《中华人民共和国环境保护法》、《中华人民共和国安全生产法》、等法律法规和执行标准，外来文件管理符合要求。</w:t>
            </w:r>
          </w:p>
          <w:p>
            <w:pPr>
              <w:spacing w:line="360" w:lineRule="auto"/>
              <w:ind w:firstLine="420" w:firstLineChars="200"/>
              <w:rPr>
                <w:rFonts w:eastAsiaTheme="minorEastAsia"/>
                <w:sz w:val="21"/>
                <w:szCs w:val="21"/>
              </w:rPr>
            </w:pPr>
            <w:r>
              <w:rPr>
                <w:rFonts w:hAnsiTheme="minorEastAsia" w:eastAsiaTheme="minorEastAsia"/>
                <w:sz w:val="21"/>
                <w:szCs w:val="21"/>
              </w:rPr>
              <w:t>查作废文件控制：根据文审要求修订了管理手册，替换了修改页，原页面销毁。</w:t>
            </w:r>
          </w:p>
          <w:p>
            <w:pPr>
              <w:spacing w:line="360" w:lineRule="auto"/>
              <w:ind w:firstLine="420" w:firstLineChars="200"/>
              <w:rPr>
                <w:rFonts w:eastAsiaTheme="minorEastAsia"/>
                <w:sz w:val="21"/>
                <w:szCs w:val="21"/>
              </w:rPr>
            </w:pPr>
            <w:r>
              <w:rPr>
                <w:rFonts w:hAnsiTheme="minorEastAsia" w:eastAsiaTheme="minorEastAsia"/>
                <w:sz w:val="21"/>
                <w:szCs w:val="21"/>
              </w:rPr>
              <w:t>查看组织</w:t>
            </w:r>
            <w:r>
              <w:rPr>
                <w:rFonts w:hint="eastAsia" w:hAnsiTheme="minorEastAsia" w:eastAsiaTheme="minorEastAsia"/>
                <w:sz w:val="21"/>
                <w:szCs w:val="21"/>
                <w:lang w:val="en-US" w:eastAsia="zh-CN"/>
              </w:rPr>
              <w:t>综合</w:t>
            </w:r>
            <w:r>
              <w:rPr>
                <w:rFonts w:hAnsiTheme="minorEastAsia" w:eastAsiaTheme="minorEastAsia"/>
                <w:sz w:val="21"/>
                <w:szCs w:val="21"/>
              </w:rPr>
              <w:t>部文件管理情况，通过纸张、电子版形式文件化，文件名称、编号、内容等字迹清晰，标识易于识别、检索、可追溯，纸质文件存放在文件柜中，防水防潮，储存环境适宜。</w:t>
            </w:r>
          </w:p>
          <w:p>
            <w:pPr>
              <w:spacing w:line="360" w:lineRule="auto"/>
              <w:ind w:firstLine="420" w:firstLineChars="200"/>
              <w:rPr>
                <w:rFonts w:eastAsiaTheme="minorEastAsia"/>
                <w:sz w:val="21"/>
                <w:szCs w:val="21"/>
              </w:rPr>
            </w:pPr>
            <w:r>
              <w:rPr>
                <w:rFonts w:hAnsiTheme="minorEastAsia" w:eastAsiaTheme="minorEastAsia"/>
                <w:sz w:val="21"/>
                <w:szCs w:val="21"/>
              </w:rPr>
              <w:t>查到了</w:t>
            </w:r>
            <w:r>
              <w:rPr>
                <w:rFonts w:eastAsiaTheme="minorEastAsia"/>
                <w:sz w:val="21"/>
                <w:szCs w:val="21"/>
              </w:rPr>
              <w:t>“</w:t>
            </w:r>
            <w:r>
              <w:rPr>
                <w:rFonts w:hAnsiTheme="minorEastAsia" w:eastAsiaTheme="minorEastAsia"/>
                <w:sz w:val="21"/>
                <w:szCs w:val="21"/>
              </w:rPr>
              <w:t>记录一览表</w:t>
            </w:r>
            <w:r>
              <w:rPr>
                <w:rFonts w:eastAsiaTheme="minorEastAsia"/>
                <w:sz w:val="21"/>
                <w:szCs w:val="21"/>
              </w:rPr>
              <w:t>”</w:t>
            </w:r>
            <w:r>
              <w:rPr>
                <w:rFonts w:hAnsiTheme="minorEastAsia" w:eastAsiaTheme="minorEastAsia"/>
                <w:sz w:val="21"/>
                <w:szCs w:val="21"/>
              </w:rPr>
              <w:t>，记录设置符合公司实施运行要求，基本包含了体系要求的相关记录；《记录一览表》，内容清晰，规定了记录的名称、编号、保存期限等信息。</w:t>
            </w:r>
            <w:r>
              <w:rPr>
                <w:rFonts w:eastAsiaTheme="minorEastAsia"/>
                <w:sz w:val="21"/>
                <w:szCs w:val="21"/>
              </w:rPr>
              <w:t xml:space="preserve"> </w:t>
            </w:r>
            <w:r>
              <w:rPr>
                <w:rFonts w:hAnsiTheme="minorEastAsia" w:eastAsiaTheme="minorEastAsia"/>
                <w:sz w:val="21"/>
                <w:szCs w:val="21"/>
              </w:rPr>
              <w:t>记录以名称、编号进行唯一性标识。</w:t>
            </w:r>
          </w:p>
          <w:p>
            <w:pPr>
              <w:spacing w:line="360" w:lineRule="auto"/>
              <w:ind w:firstLine="420" w:firstLineChars="200"/>
              <w:rPr>
                <w:rFonts w:eastAsiaTheme="minorEastAsia"/>
                <w:sz w:val="21"/>
                <w:szCs w:val="21"/>
              </w:rPr>
            </w:pPr>
            <w:r>
              <w:rPr>
                <w:rFonts w:hAnsiTheme="minorEastAsia" w:eastAsiaTheme="minorEastAsia"/>
                <w:sz w:val="21"/>
                <w:szCs w:val="21"/>
              </w:rPr>
              <w:t>查阅了记录：《合规性评价报告》、《应急演练记录》、《顾客满意度统计分析报告》、《环境、安全检查记录》等体系运行记录，记录比较完整，内容规范全面，字迹清楚，有填表人、检查人等信息，易于检索，符合要求。</w:t>
            </w:r>
          </w:p>
          <w:p>
            <w:pPr>
              <w:spacing w:line="360" w:lineRule="auto"/>
              <w:rPr>
                <w:rFonts w:eastAsiaTheme="minorEastAsia"/>
                <w:sz w:val="21"/>
                <w:szCs w:val="21"/>
              </w:rPr>
            </w:pPr>
            <w:r>
              <w:rPr>
                <w:rFonts w:hAnsiTheme="minorEastAsia" w:eastAsiaTheme="minorEastAsia"/>
                <w:sz w:val="21"/>
                <w:szCs w:val="21"/>
              </w:rPr>
              <w:t>　</w:t>
            </w:r>
            <w:r>
              <w:rPr>
                <w:rFonts w:eastAsiaTheme="minorEastAsia"/>
                <w:sz w:val="21"/>
                <w:szCs w:val="21"/>
              </w:rPr>
              <w:t xml:space="preserve"> </w:t>
            </w:r>
            <w:r>
              <w:rPr>
                <w:rFonts w:hAnsiTheme="minorEastAsia" w:eastAsiaTheme="minorEastAsia"/>
                <w:sz w:val="21"/>
                <w:szCs w:val="21"/>
              </w:rPr>
              <w:t>察看记录存放处：各类记录分类存放，部门用记录由相关部门保管，置于文件夹或档案盒（袋）内，统一放置于文件资料柜中，干燥、通风、容易查询，记录保存方式和地点基本可以满足企业现有的体系运行需求。</w:t>
            </w:r>
          </w:p>
          <w:p>
            <w:pPr>
              <w:spacing w:line="360" w:lineRule="auto"/>
              <w:rPr>
                <w:rFonts w:eastAsiaTheme="minorEastAsia"/>
                <w:sz w:val="21"/>
                <w:szCs w:val="21"/>
              </w:rPr>
            </w:pPr>
            <w:r>
              <w:rPr>
                <w:rFonts w:hAnsiTheme="minorEastAsia" w:eastAsiaTheme="minorEastAsia"/>
                <w:sz w:val="21"/>
                <w:szCs w:val="21"/>
              </w:rPr>
              <w:t>　　经了解，目前作废文件已销毁，由</w:t>
            </w:r>
            <w:r>
              <w:rPr>
                <w:rFonts w:hint="eastAsia" w:hAnsiTheme="minorEastAsia" w:eastAsiaTheme="minorEastAsia"/>
                <w:sz w:val="21"/>
                <w:szCs w:val="21"/>
                <w:lang w:val="en-US" w:eastAsia="zh-CN"/>
              </w:rPr>
              <w:t>综合</w:t>
            </w:r>
            <w:r>
              <w:rPr>
                <w:rFonts w:hAnsiTheme="minorEastAsia" w:eastAsiaTheme="minorEastAsia"/>
                <w:sz w:val="21"/>
                <w:szCs w:val="21"/>
              </w:rPr>
              <w:t>部统一处理。</w:t>
            </w:r>
          </w:p>
          <w:p>
            <w:pPr>
              <w:tabs>
                <w:tab w:val="left" w:pos="6597"/>
              </w:tabs>
              <w:spacing w:line="360" w:lineRule="auto"/>
              <w:ind w:firstLine="420" w:firstLineChars="200"/>
              <w:rPr>
                <w:rFonts w:eastAsiaTheme="minorEastAsia"/>
                <w:sz w:val="21"/>
                <w:szCs w:val="21"/>
              </w:rPr>
            </w:pPr>
            <w:r>
              <w:rPr>
                <w:rFonts w:hAnsiTheme="minorEastAsia" w:eastAsiaTheme="minorEastAsia"/>
                <w:sz w:val="21"/>
                <w:szCs w:val="21"/>
              </w:rPr>
              <w:t>总体来说，公司文件化信息控制基本有效。</w:t>
            </w:r>
          </w:p>
        </w:tc>
        <w:tc>
          <w:tcPr>
            <w:tcW w:w="1585" w:type="dxa"/>
          </w:tcPr>
          <w:p>
            <w:pPr>
              <w:spacing w:line="360" w:lineRule="auto"/>
              <w:rPr>
                <w:rFonts w:eastAsiaTheme="minorEastAsia"/>
                <w:sz w:val="21"/>
                <w:szCs w:val="21"/>
                <w:highlight w:val="yellow"/>
              </w:rPr>
            </w:pPr>
            <w:r>
              <w:rPr>
                <w:rFonts w:hint="eastAsia" w:eastAsia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1242" w:type="dxa"/>
            <w:vAlign w:val="center"/>
          </w:tcPr>
          <w:p>
            <w:pPr>
              <w:spacing w:line="360" w:lineRule="auto"/>
              <w:rPr>
                <w:rFonts w:eastAsiaTheme="minorEastAsia"/>
                <w:b/>
                <w:sz w:val="21"/>
                <w:szCs w:val="21"/>
              </w:rPr>
            </w:pPr>
            <w:r>
              <w:rPr>
                <w:rFonts w:hAnsiTheme="minorEastAsia" w:eastAsiaTheme="minorEastAsia"/>
                <w:sz w:val="21"/>
                <w:szCs w:val="21"/>
              </w:rPr>
              <w:t>环境因素</w:t>
            </w:r>
            <w:r>
              <w:rPr>
                <w:rFonts w:eastAsiaTheme="minorEastAsia"/>
                <w:sz w:val="21"/>
                <w:szCs w:val="21"/>
              </w:rPr>
              <w:t>/</w:t>
            </w:r>
            <w:r>
              <w:rPr>
                <w:rFonts w:hAnsiTheme="minorEastAsia" w:eastAsiaTheme="minorEastAsia"/>
                <w:sz w:val="21"/>
                <w:szCs w:val="21"/>
              </w:rPr>
              <w:t>危险源</w:t>
            </w:r>
          </w:p>
        </w:tc>
        <w:tc>
          <w:tcPr>
            <w:tcW w:w="1276" w:type="dxa"/>
          </w:tcPr>
          <w:p>
            <w:pPr>
              <w:spacing w:line="360" w:lineRule="auto"/>
              <w:rPr>
                <w:rFonts w:eastAsiaTheme="minorEastAsia"/>
                <w:bCs/>
                <w:sz w:val="21"/>
                <w:szCs w:val="21"/>
              </w:rPr>
            </w:pPr>
            <w:r>
              <w:rPr>
                <w:rFonts w:eastAsiaTheme="minorEastAsia"/>
                <w:bCs/>
                <w:sz w:val="21"/>
                <w:szCs w:val="21"/>
              </w:rPr>
              <w:t>E6.1.2</w:t>
            </w:r>
          </w:p>
          <w:p>
            <w:pPr>
              <w:spacing w:line="360" w:lineRule="auto"/>
              <w:rPr>
                <w:rFonts w:eastAsiaTheme="minorEastAsia"/>
                <w:sz w:val="21"/>
                <w:szCs w:val="21"/>
              </w:rPr>
            </w:pPr>
            <w:r>
              <w:rPr>
                <w:rFonts w:eastAsiaTheme="minorEastAsia"/>
                <w:sz w:val="21"/>
                <w:szCs w:val="21"/>
              </w:rPr>
              <w:t>O6.1.2</w:t>
            </w:r>
          </w:p>
          <w:p>
            <w:pPr>
              <w:spacing w:line="360" w:lineRule="auto"/>
              <w:rPr>
                <w:rFonts w:eastAsiaTheme="minorEastAsia"/>
                <w:sz w:val="21"/>
                <w:szCs w:val="21"/>
              </w:rPr>
            </w:pPr>
          </w:p>
        </w:tc>
        <w:tc>
          <w:tcPr>
            <w:tcW w:w="10606" w:type="dxa"/>
          </w:tcPr>
          <w:p>
            <w:pPr>
              <w:spacing w:line="360" w:lineRule="auto"/>
              <w:ind w:firstLine="420" w:firstLineChars="200"/>
              <w:rPr>
                <w:sz w:val="21"/>
                <w:szCs w:val="21"/>
              </w:rPr>
            </w:pPr>
            <w:r>
              <w:rPr>
                <w:rFonts w:hint="eastAsia"/>
                <w:sz w:val="21"/>
                <w:szCs w:val="21"/>
              </w:rPr>
              <w:t>编制了</w:t>
            </w:r>
            <w:r>
              <w:rPr>
                <w:sz w:val="21"/>
                <w:szCs w:val="21"/>
              </w:rPr>
              <w:t>《环境因素的识别与评价控制程序》</w:t>
            </w:r>
            <w:r>
              <w:rPr>
                <w:rFonts w:hint="eastAsia"/>
                <w:sz w:val="21"/>
                <w:szCs w:val="21"/>
              </w:rPr>
              <w:t>、</w:t>
            </w:r>
            <w:r>
              <w:rPr>
                <w:sz w:val="21"/>
                <w:szCs w:val="21"/>
              </w:rPr>
              <w:t>《危险源辩识、风险评价和风险控制策划程序》</w:t>
            </w:r>
            <w:r>
              <w:rPr>
                <w:rFonts w:hint="eastAsia"/>
                <w:sz w:val="21"/>
                <w:szCs w:val="21"/>
              </w:rPr>
              <w:t>符合标准要求.</w:t>
            </w:r>
          </w:p>
          <w:p>
            <w:pPr>
              <w:spacing w:line="360" w:lineRule="auto"/>
              <w:rPr>
                <w:rFonts w:ascii="宋体"/>
                <w:b/>
                <w:sz w:val="21"/>
                <w:szCs w:val="21"/>
              </w:rPr>
            </w:pPr>
            <w:r>
              <w:rPr>
                <w:rFonts w:hint="eastAsia"/>
                <w:sz w:val="21"/>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spacing w:line="360" w:lineRule="auto"/>
              <w:ind w:firstLine="420" w:firstLineChars="200"/>
              <w:rPr>
                <w:sz w:val="21"/>
                <w:szCs w:val="21"/>
              </w:rPr>
            </w:pPr>
            <w:r>
              <w:rPr>
                <w:rFonts w:hint="eastAsia"/>
                <w:sz w:val="21"/>
                <w:szCs w:val="21"/>
              </w:rPr>
              <w:t>对重要环境因素的控制措施包括制定管理制度、监督检查、应急预案、培训等。提供《重要环境因素识别清单》，其中综合部涉及的重要环境因素：固废排放、意外火灾的发生，评价基本合理。</w:t>
            </w:r>
          </w:p>
          <w:p>
            <w:pPr>
              <w:spacing w:line="360" w:lineRule="auto"/>
              <w:ind w:firstLine="420" w:firstLineChars="200"/>
              <w:rPr>
                <w:sz w:val="21"/>
                <w:szCs w:val="21"/>
              </w:rPr>
            </w:pPr>
            <w:r>
              <w:rPr>
                <w:rFonts w:hint="eastAsia"/>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spacing w:line="360" w:lineRule="auto"/>
              <w:ind w:firstLine="420" w:firstLineChars="200"/>
              <w:rPr>
                <w:rFonts w:eastAsiaTheme="minorEastAsia"/>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 w:val="21"/>
                <w:szCs w:val="21"/>
              </w:rPr>
              <w:t>2</w:t>
            </w:r>
            <w:r>
              <w:rPr>
                <w:rFonts w:hint="eastAsia"/>
                <w:sz w:val="21"/>
                <w:szCs w:val="21"/>
              </w:rPr>
              <w:t>项，涉及：火灾和触电，评价符合程序要求及公司的实际情况。对危险源的控制措施包括制定管理制度、监督检查、应急预案、培训等。</w:t>
            </w:r>
          </w:p>
        </w:tc>
        <w:tc>
          <w:tcPr>
            <w:tcW w:w="1585" w:type="dxa"/>
          </w:tcPr>
          <w:p>
            <w:pPr>
              <w:spacing w:line="360" w:lineRule="auto"/>
              <w:rPr>
                <w:rFonts w:eastAsiaTheme="minorEastAsia"/>
                <w:sz w:val="21"/>
                <w:szCs w:val="21"/>
                <w:highlight w:val="yellow"/>
              </w:rPr>
            </w:pPr>
            <w:r>
              <w:rPr>
                <w:rFonts w:hint="eastAsia" w:eastAsia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42" w:type="dxa"/>
          </w:tcPr>
          <w:p>
            <w:pPr>
              <w:spacing w:line="360" w:lineRule="auto"/>
              <w:rPr>
                <w:rFonts w:eastAsiaTheme="minorEastAsia"/>
                <w:sz w:val="21"/>
                <w:szCs w:val="21"/>
              </w:rPr>
            </w:pPr>
            <w:r>
              <w:rPr>
                <w:rFonts w:hAnsiTheme="minorEastAsia" w:eastAsiaTheme="minorEastAsia"/>
                <w:sz w:val="21"/>
                <w:szCs w:val="21"/>
              </w:rPr>
              <w:t>合规义务、法律法规和其他要求</w:t>
            </w:r>
          </w:p>
        </w:tc>
        <w:tc>
          <w:tcPr>
            <w:tcW w:w="1276" w:type="dxa"/>
            <w:vAlign w:val="center"/>
          </w:tcPr>
          <w:p>
            <w:pPr>
              <w:spacing w:line="360" w:lineRule="auto"/>
              <w:rPr>
                <w:rFonts w:eastAsiaTheme="minorEastAsia"/>
                <w:sz w:val="21"/>
                <w:szCs w:val="21"/>
              </w:rPr>
            </w:pPr>
            <w:r>
              <w:rPr>
                <w:rFonts w:eastAsiaTheme="minorEastAsia"/>
                <w:sz w:val="21"/>
                <w:szCs w:val="21"/>
              </w:rPr>
              <w:t>E6.1.3</w:t>
            </w:r>
          </w:p>
          <w:p>
            <w:pPr>
              <w:spacing w:line="360" w:lineRule="auto"/>
              <w:rPr>
                <w:rFonts w:eastAsiaTheme="minorEastAsia"/>
                <w:sz w:val="21"/>
                <w:szCs w:val="21"/>
              </w:rPr>
            </w:pPr>
            <w:r>
              <w:rPr>
                <w:rFonts w:eastAsiaTheme="minorEastAsia"/>
                <w:sz w:val="21"/>
                <w:szCs w:val="21"/>
              </w:rPr>
              <w:t>O6.1.3</w:t>
            </w:r>
          </w:p>
        </w:tc>
        <w:tc>
          <w:tcPr>
            <w:tcW w:w="10606" w:type="dxa"/>
            <w:vAlign w:val="center"/>
          </w:tcPr>
          <w:p>
            <w:pPr>
              <w:snapToGrid w:val="0"/>
              <w:spacing w:line="360" w:lineRule="auto"/>
              <w:ind w:firstLine="420" w:firstLineChars="200"/>
              <w:rPr>
                <w:rFonts w:eastAsiaTheme="minorEastAsia"/>
                <w:sz w:val="21"/>
                <w:szCs w:val="21"/>
              </w:rPr>
            </w:pPr>
            <w:r>
              <w:rPr>
                <w:rFonts w:hAnsiTheme="minorEastAsia" w:eastAsiaTheme="minorEastAsia"/>
                <w:sz w:val="21"/>
                <w:szCs w:val="21"/>
              </w:rPr>
              <w:t>编制了《环境和职业健康安全法律法规控制程序》，对法律法规的识别更新和应用进行规定，行政部为主控部门。</w:t>
            </w:r>
          </w:p>
          <w:p>
            <w:pPr>
              <w:snapToGrid w:val="0"/>
              <w:spacing w:line="360" w:lineRule="auto"/>
              <w:ind w:firstLine="420" w:firstLineChars="200"/>
              <w:rPr>
                <w:rFonts w:eastAsiaTheme="minorEastAsia"/>
                <w:sz w:val="21"/>
                <w:szCs w:val="21"/>
              </w:rPr>
            </w:pPr>
            <w:r>
              <w:rPr>
                <w:rFonts w:hAnsiTheme="minorEastAsia" w:eastAsiaTheme="minorEastAsia"/>
                <w:sz w:val="21"/>
                <w:szCs w:val="21"/>
              </w:rPr>
              <w:t>部门人员介绍：主要通过网络、报纸杂志电视等新闻媒体、购买、上级下发等多种形式收集本公司适用的法律法规。提供了《环境法律法规及其他要求清单》、《职业健康安全法律法规及其他要求清单》，识别了企业相关环境和职业健康安全法律法规、标准和其他要求。如《中华人民共和国环境保护法》、《中华人民共和国安全生产法》、《中华人民共和国环境噪声污染防治法》、《中华人民共和国职业病防治法》、《中华人民共和国消防法》、《</w:t>
            </w:r>
            <w:r>
              <w:rPr>
                <w:rFonts w:hint="eastAsia" w:hAnsiTheme="minorEastAsia" w:eastAsiaTheme="minorEastAsia"/>
                <w:sz w:val="21"/>
                <w:szCs w:val="21"/>
              </w:rPr>
              <w:t>突发环境事件应急管理办法</w:t>
            </w:r>
            <w:r>
              <w:rPr>
                <w:rFonts w:hAnsiTheme="minorEastAsia" w:eastAsiaTheme="minorEastAsia"/>
                <w:sz w:val="21"/>
                <w:szCs w:val="21"/>
              </w:rPr>
              <w:t>》、《安全生产条例》、《工伤保险条例》《中华人民共和国劳动合同法》《中华人民共和国突发事件应对法》《生产安全事故报告和调查处理规定》《突发环境事件信息报告办法》等。</w:t>
            </w:r>
          </w:p>
          <w:p>
            <w:pPr>
              <w:snapToGrid w:val="0"/>
              <w:spacing w:line="360" w:lineRule="auto"/>
              <w:ind w:firstLine="420" w:firstLineChars="200"/>
              <w:rPr>
                <w:rFonts w:eastAsiaTheme="minorEastAsia"/>
                <w:sz w:val="21"/>
                <w:szCs w:val="21"/>
              </w:rPr>
            </w:pPr>
            <w:r>
              <w:rPr>
                <w:rFonts w:hAnsiTheme="minorEastAsia" w:eastAsiaTheme="minorEastAsia"/>
                <w:sz w:val="21"/>
                <w:szCs w:val="21"/>
              </w:rPr>
              <w:t>已识别法律法规及其它要求的适用条款，并与环境因素、危险源相对应。</w:t>
            </w:r>
          </w:p>
          <w:p>
            <w:pPr>
              <w:snapToGrid w:val="0"/>
              <w:spacing w:line="360" w:lineRule="auto"/>
              <w:ind w:firstLine="420" w:firstLineChars="200"/>
              <w:rPr>
                <w:rFonts w:eastAsiaTheme="minorEastAsia"/>
                <w:sz w:val="21"/>
                <w:szCs w:val="21"/>
                <w:highlight w:val="yellow"/>
              </w:rPr>
            </w:pPr>
            <w:r>
              <w:rPr>
                <w:rFonts w:hAnsiTheme="minorEastAsia" w:eastAsiaTheme="minorEastAsia"/>
                <w:sz w:val="21"/>
                <w:szCs w:val="21"/>
              </w:rPr>
              <w:t>公司法律、法规及其它要求都有现行文本，大部分为电子版本。各部门如有需要到</w:t>
            </w:r>
            <w:r>
              <w:rPr>
                <w:rFonts w:hint="eastAsia" w:hAnsiTheme="minorEastAsia" w:eastAsiaTheme="minorEastAsia"/>
                <w:sz w:val="21"/>
                <w:szCs w:val="21"/>
                <w:lang w:val="en-US" w:eastAsia="zh-CN"/>
              </w:rPr>
              <w:t>综合</w:t>
            </w:r>
            <w:r>
              <w:rPr>
                <w:rFonts w:hAnsiTheme="minorEastAsia" w:eastAsiaTheme="minorEastAsia"/>
                <w:sz w:val="21"/>
                <w:szCs w:val="21"/>
              </w:rPr>
              <w:t>部查阅。公司通过培训、会议等方式向有关员工传达法律、法规及其它要求的相关要求。</w:t>
            </w:r>
          </w:p>
        </w:tc>
        <w:tc>
          <w:tcPr>
            <w:tcW w:w="1585" w:type="dxa"/>
          </w:tcPr>
          <w:p>
            <w:pPr>
              <w:spacing w:line="360" w:lineRule="auto"/>
              <w:rPr>
                <w:rFonts w:eastAsiaTheme="minorEastAsia"/>
                <w:sz w:val="21"/>
                <w:szCs w:val="21"/>
                <w:highlight w:val="yellow"/>
              </w:rPr>
            </w:pPr>
            <w:r>
              <w:rPr>
                <w:rFonts w:hint="eastAsia" w:eastAsia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1242" w:type="dxa"/>
            <w:vAlign w:val="center"/>
          </w:tcPr>
          <w:p>
            <w:pPr>
              <w:spacing w:line="360" w:lineRule="auto"/>
              <w:rPr>
                <w:rFonts w:eastAsiaTheme="minorEastAsia"/>
                <w:sz w:val="21"/>
                <w:szCs w:val="21"/>
              </w:rPr>
            </w:pPr>
            <w:r>
              <w:rPr>
                <w:rFonts w:hAnsiTheme="minorEastAsia" w:eastAsiaTheme="minorEastAsia"/>
                <w:sz w:val="21"/>
                <w:szCs w:val="21"/>
              </w:rPr>
              <w:t>措施的策划</w:t>
            </w:r>
          </w:p>
        </w:tc>
        <w:tc>
          <w:tcPr>
            <w:tcW w:w="1276" w:type="dxa"/>
            <w:vAlign w:val="center"/>
          </w:tcPr>
          <w:p>
            <w:pPr>
              <w:spacing w:line="360" w:lineRule="auto"/>
              <w:rPr>
                <w:rFonts w:eastAsiaTheme="minorEastAsia"/>
                <w:sz w:val="21"/>
                <w:szCs w:val="21"/>
              </w:rPr>
            </w:pPr>
            <w:r>
              <w:rPr>
                <w:rFonts w:eastAsiaTheme="minorEastAsia"/>
                <w:sz w:val="21"/>
                <w:szCs w:val="21"/>
              </w:rPr>
              <w:t>E6.1.4</w:t>
            </w:r>
          </w:p>
          <w:p>
            <w:pPr>
              <w:spacing w:line="360" w:lineRule="auto"/>
              <w:rPr>
                <w:rFonts w:eastAsiaTheme="minorEastAsia"/>
                <w:sz w:val="21"/>
                <w:szCs w:val="21"/>
              </w:rPr>
            </w:pPr>
            <w:r>
              <w:rPr>
                <w:rFonts w:eastAsiaTheme="minorEastAsia"/>
                <w:sz w:val="21"/>
                <w:szCs w:val="21"/>
              </w:rPr>
              <w:t>O6.1.4</w:t>
            </w:r>
          </w:p>
        </w:tc>
        <w:tc>
          <w:tcPr>
            <w:tcW w:w="10606" w:type="dxa"/>
            <w:vAlign w:val="center"/>
          </w:tcPr>
          <w:p>
            <w:pPr>
              <w:spacing w:line="360" w:lineRule="auto"/>
              <w:ind w:firstLine="420" w:firstLineChars="200"/>
              <w:rPr>
                <w:rFonts w:eastAsiaTheme="minorEastAsia"/>
                <w:sz w:val="21"/>
                <w:szCs w:val="21"/>
              </w:rPr>
            </w:pPr>
            <w:r>
              <w:rPr>
                <w:rFonts w:hAnsiTheme="minorEastAsia" w:eastAsiaTheme="minorEastAsia"/>
                <w:sz w:val="21"/>
                <w:szCs w:val="21"/>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pPr>
              <w:spacing w:line="360" w:lineRule="auto"/>
              <w:ind w:firstLine="420" w:firstLineChars="200"/>
              <w:rPr>
                <w:rFonts w:eastAsiaTheme="minorEastAsia"/>
                <w:sz w:val="21"/>
                <w:szCs w:val="21"/>
              </w:rPr>
            </w:pPr>
            <w:r>
              <w:rPr>
                <w:rFonts w:hAnsiTheme="minorEastAsia" w:eastAsiaTheme="minorEastAsia"/>
                <w:sz w:val="21"/>
                <w:szCs w:val="21"/>
              </w:rPr>
              <w:t>每年对公司适用的合规义务进行识别更新并定期评价、检查。</w:t>
            </w:r>
          </w:p>
          <w:p>
            <w:pPr>
              <w:spacing w:line="360" w:lineRule="auto"/>
              <w:ind w:firstLine="420" w:firstLineChars="200"/>
              <w:rPr>
                <w:rFonts w:eastAsiaTheme="minorEastAsia"/>
                <w:sz w:val="21"/>
                <w:szCs w:val="21"/>
              </w:rPr>
            </w:pPr>
            <w:r>
              <w:rPr>
                <w:rFonts w:hAnsiTheme="minorEastAsia" w:eastAsiaTheme="minorEastAsia"/>
                <w:sz w:val="21"/>
                <w:szCs w:val="21"/>
              </w:rPr>
              <w:t>经组织评价，组织策划的措施基本能够满足风险和机遇应对需要，能够与识别的风险和机遇对产品符合性的潜在影响相适应，基本满足标准要求。</w:t>
            </w:r>
          </w:p>
        </w:tc>
        <w:tc>
          <w:tcPr>
            <w:tcW w:w="1585" w:type="dxa"/>
          </w:tcPr>
          <w:p>
            <w:pPr>
              <w:spacing w:line="360" w:lineRule="auto"/>
              <w:rPr>
                <w:rFonts w:eastAsiaTheme="minorEastAsia"/>
                <w:sz w:val="21"/>
                <w:szCs w:val="21"/>
                <w:highlight w:val="yellow"/>
              </w:rPr>
            </w:pPr>
            <w:r>
              <w:rPr>
                <w:rFonts w:hint="eastAsia" w:eastAsia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1242" w:type="dxa"/>
            <w:vAlign w:val="center"/>
          </w:tcPr>
          <w:p>
            <w:pPr>
              <w:spacing w:line="360" w:lineRule="auto"/>
              <w:rPr>
                <w:rFonts w:eastAsiaTheme="minorEastAsia"/>
                <w:sz w:val="21"/>
                <w:szCs w:val="21"/>
              </w:rPr>
            </w:pPr>
            <w:r>
              <w:rPr>
                <w:rFonts w:hAnsiTheme="minorEastAsia" w:eastAsiaTheme="minorEastAsia"/>
                <w:sz w:val="21"/>
                <w:szCs w:val="21"/>
              </w:rPr>
              <w:t>合规性评价</w:t>
            </w:r>
          </w:p>
        </w:tc>
        <w:tc>
          <w:tcPr>
            <w:tcW w:w="1276" w:type="dxa"/>
            <w:vAlign w:val="center"/>
          </w:tcPr>
          <w:p>
            <w:pPr>
              <w:spacing w:line="360" w:lineRule="auto"/>
              <w:rPr>
                <w:rFonts w:eastAsiaTheme="minorEastAsia"/>
                <w:sz w:val="21"/>
                <w:szCs w:val="21"/>
              </w:rPr>
            </w:pPr>
            <w:r>
              <w:rPr>
                <w:rFonts w:eastAsiaTheme="minorEastAsia"/>
                <w:sz w:val="21"/>
                <w:szCs w:val="21"/>
              </w:rPr>
              <w:t>E9.1.2</w:t>
            </w:r>
          </w:p>
          <w:p>
            <w:pPr>
              <w:spacing w:line="360" w:lineRule="auto"/>
              <w:rPr>
                <w:rFonts w:eastAsiaTheme="minorEastAsia"/>
                <w:bCs/>
                <w:sz w:val="21"/>
                <w:szCs w:val="21"/>
              </w:rPr>
            </w:pPr>
            <w:r>
              <w:rPr>
                <w:rFonts w:eastAsiaTheme="minorEastAsia"/>
                <w:sz w:val="21"/>
                <w:szCs w:val="21"/>
              </w:rPr>
              <w:t>O9.1.2</w:t>
            </w:r>
          </w:p>
        </w:tc>
        <w:tc>
          <w:tcPr>
            <w:tcW w:w="10606" w:type="dxa"/>
            <w:vAlign w:val="center"/>
          </w:tcPr>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根据《法律法规和其他要求获取与识别控制程序》要求，随时对法律法规的更新进行跟踪，并进行补充。于20</w:t>
            </w:r>
            <w:r>
              <w:rPr>
                <w:rFonts w:hint="eastAsia" w:asciiTheme="minorEastAsia" w:hAnsiTheme="minorEastAsia" w:eastAsiaTheme="minorEastAsia"/>
                <w:sz w:val="21"/>
                <w:szCs w:val="21"/>
                <w:lang w:val="en-US" w:eastAsia="zh-CN"/>
              </w:rPr>
              <w:t>20</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11</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rPr>
              <w:t>日识别了法律法规清单。获取渠道，网络和期刊等。</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提供《法律法规和其他要求清单》收集的环境和安全法律法规《中华人民共和国安全生产法》、《中华人民共和国节约能源法》《中华人民共和国环境保护法》等,对公司法律法规及要求遵守程度进行评价。</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提供了《法律法规和其他要求合规性评价报告》、中华人民共和国水污染防治法（修正）、中华人民共和国大气污染防治法等</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危险废物贮存污染控制标准</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GB18597-2001/XG1-2013</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2013-06-08</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污水综合排放标准</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GB8978-1996</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1998-01-01</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地表水环境质量标准</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 xml:space="preserve">GB 3838-2002 </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2002-06-01</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环境空气质量标准</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GB 3095-2012</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2016-01-01</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声环境质量标准</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GB 3096-2008</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2008-10-01</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大气污染物综合排放标准</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GB 16297-1996</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1997-01-01</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室内空气质量标准</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GB/T 18883-2002</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2003-03-01</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《湖北省用人单位职业病危害现状评价技术指导意见(试行)》鄂安监发〔2013〕157 号</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湖北省贯彻落实国家职业病防治规划（2009-2015年）的实施意见的通知</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鄂政办发〔2010〕94号</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湖北省用人单位职业病危害告知于警示工作规范（试行）</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鄂安监发〔2012〕165号</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湖北省环境保护条例</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第八届人民代表大会常务委员会第十次会议</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《湖北省城市市容和环境卫生管理条例》</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省第十届人民代表大会常务委员会第21次会议</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《湖北省环境保护税核定征收管理办法》</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湖北省地方税务局</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市人民政府关于印发十堰市生态环境保护“十三五”规划的通知</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市政发〔2017〕19号等，组织进行合规性的评价。</w:t>
            </w:r>
          </w:p>
          <w:p>
            <w:pPr>
              <w:spacing w:line="360" w:lineRule="auto"/>
              <w:ind w:firstLine="420" w:firstLineChars="200"/>
              <w:rPr>
                <w:rFonts w:eastAsiaTheme="minorEastAsia"/>
                <w:sz w:val="21"/>
                <w:szCs w:val="21"/>
              </w:rPr>
            </w:pPr>
            <w:r>
              <w:rPr>
                <w:rFonts w:hint="eastAsia" w:asciiTheme="minorEastAsia" w:hAnsiTheme="minorEastAsia" w:eastAsiaTheme="minorEastAsia"/>
                <w:sz w:val="21"/>
                <w:szCs w:val="21"/>
              </w:rPr>
              <w:t>评价结论：合规。评价人：白蕊 等，批准：</w:t>
            </w:r>
            <w:r>
              <w:rPr>
                <w:rFonts w:hint="eastAsia"/>
                <w:sz w:val="21"/>
                <w:szCs w:val="21"/>
                <w:lang w:val="zh-CN"/>
              </w:rPr>
              <w:t xml:space="preserve">白蕊 </w:t>
            </w:r>
            <w:r>
              <w:rPr>
                <w:rFonts w:hint="eastAsia" w:asciiTheme="minorEastAsia" w:hAnsiTheme="minorEastAsia" w:eastAsiaTheme="minorEastAsia"/>
                <w:sz w:val="21"/>
                <w:szCs w:val="21"/>
              </w:rPr>
              <w:t xml:space="preserve"> 。明确了法律法规及其他要求对公司环境因素、危险源的应用，明确了相应的适用条款。</w:t>
            </w:r>
          </w:p>
        </w:tc>
        <w:tc>
          <w:tcPr>
            <w:tcW w:w="1585" w:type="dxa"/>
          </w:tcPr>
          <w:p>
            <w:pPr>
              <w:spacing w:line="360" w:lineRule="auto"/>
              <w:rPr>
                <w:rFonts w:eastAsiaTheme="minorEastAsia"/>
                <w:sz w:val="21"/>
                <w:szCs w:val="21"/>
                <w:highlight w:val="yellow"/>
              </w:rPr>
            </w:pPr>
            <w:r>
              <w:rPr>
                <w:rFonts w:hint="eastAsia" w:eastAsia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eastAsiaTheme="minorEastAsia"/>
                <w:sz w:val="21"/>
                <w:szCs w:val="21"/>
              </w:rPr>
            </w:pPr>
            <w:r>
              <w:rPr>
                <w:rFonts w:hAnsiTheme="minorEastAsia" w:eastAsiaTheme="minorEastAsia"/>
                <w:sz w:val="21"/>
                <w:szCs w:val="21"/>
              </w:rPr>
              <w:t>监视、测量、分析和评价</w:t>
            </w:r>
          </w:p>
        </w:tc>
        <w:tc>
          <w:tcPr>
            <w:tcW w:w="1276" w:type="dxa"/>
            <w:vAlign w:val="center"/>
          </w:tcPr>
          <w:p>
            <w:pPr>
              <w:tabs>
                <w:tab w:val="left" w:pos="6597"/>
              </w:tabs>
              <w:spacing w:line="360" w:lineRule="auto"/>
              <w:rPr>
                <w:rFonts w:eastAsiaTheme="minorEastAsia"/>
                <w:sz w:val="21"/>
                <w:szCs w:val="21"/>
              </w:rPr>
            </w:pPr>
            <w:r>
              <w:rPr>
                <w:rFonts w:eastAsiaTheme="minorEastAsia"/>
                <w:sz w:val="21"/>
                <w:szCs w:val="21"/>
              </w:rPr>
              <w:t>E9.1.1</w:t>
            </w:r>
          </w:p>
          <w:p>
            <w:pPr>
              <w:tabs>
                <w:tab w:val="left" w:pos="6597"/>
              </w:tabs>
              <w:spacing w:line="360" w:lineRule="auto"/>
              <w:rPr>
                <w:rFonts w:eastAsiaTheme="minorEastAsia"/>
                <w:sz w:val="21"/>
                <w:szCs w:val="21"/>
              </w:rPr>
            </w:pPr>
            <w:r>
              <w:rPr>
                <w:rFonts w:eastAsiaTheme="minorEastAsia"/>
                <w:sz w:val="21"/>
                <w:szCs w:val="21"/>
              </w:rPr>
              <w:t>O9.1.1</w:t>
            </w:r>
          </w:p>
        </w:tc>
        <w:tc>
          <w:tcPr>
            <w:tcW w:w="10606" w:type="dxa"/>
            <w:vAlign w:val="center"/>
          </w:tcPr>
          <w:p>
            <w:pPr>
              <w:spacing w:line="360" w:lineRule="auto"/>
              <w:ind w:firstLine="420" w:firstLineChars="200"/>
              <w:jc w:val="left"/>
              <w:rPr>
                <w:rFonts w:eastAsiaTheme="minorEastAsia"/>
                <w:sz w:val="21"/>
                <w:szCs w:val="21"/>
              </w:rPr>
            </w:pPr>
            <w:r>
              <w:rPr>
                <w:rFonts w:hAnsiTheme="minorEastAsia" w:eastAsiaTheme="minorEastAsia"/>
                <w:sz w:val="21"/>
                <w:szCs w:val="21"/>
              </w:rPr>
              <w:t>查到</w:t>
            </w:r>
            <w:r>
              <w:rPr>
                <w:rFonts w:eastAsiaTheme="minorEastAsia"/>
                <w:sz w:val="21"/>
                <w:szCs w:val="21"/>
              </w:rPr>
              <w:t>20</w:t>
            </w:r>
            <w:r>
              <w:rPr>
                <w:rFonts w:hint="eastAsia" w:eastAsiaTheme="minorEastAsia"/>
                <w:sz w:val="21"/>
                <w:szCs w:val="21"/>
              </w:rPr>
              <w:t>2</w:t>
            </w:r>
            <w:r>
              <w:rPr>
                <w:rFonts w:hint="eastAsia" w:eastAsiaTheme="minorEastAsia"/>
                <w:sz w:val="21"/>
                <w:szCs w:val="21"/>
                <w:lang w:val="en-US" w:eastAsia="zh-CN"/>
              </w:rPr>
              <w:t>1</w:t>
            </w:r>
            <w:r>
              <w:rPr>
                <w:rFonts w:hAnsiTheme="minorEastAsia" w:eastAsiaTheme="minorEastAsia"/>
                <w:sz w:val="21"/>
                <w:szCs w:val="21"/>
              </w:rPr>
              <w:t>年</w:t>
            </w:r>
            <w:r>
              <w:rPr>
                <w:rFonts w:hint="eastAsia" w:eastAsiaTheme="minorEastAsia"/>
                <w:sz w:val="21"/>
                <w:szCs w:val="21"/>
                <w:lang w:val="en-US" w:eastAsia="zh-CN"/>
              </w:rPr>
              <w:t>2</w:t>
            </w:r>
            <w:r>
              <w:rPr>
                <w:rFonts w:hAnsiTheme="minorEastAsia" w:eastAsiaTheme="minorEastAsia"/>
                <w:sz w:val="21"/>
                <w:szCs w:val="21"/>
              </w:rPr>
              <w:t>月</w:t>
            </w:r>
            <w:r>
              <w:rPr>
                <w:rFonts w:eastAsiaTheme="minorEastAsia"/>
                <w:sz w:val="21"/>
                <w:szCs w:val="21"/>
              </w:rPr>
              <w:t>“</w:t>
            </w:r>
            <w:r>
              <w:rPr>
                <w:rFonts w:hAnsiTheme="minorEastAsia" w:eastAsiaTheme="minorEastAsia"/>
                <w:sz w:val="21"/>
                <w:szCs w:val="21"/>
              </w:rPr>
              <w:t>目标考核表</w:t>
            </w:r>
            <w:r>
              <w:rPr>
                <w:rFonts w:eastAsiaTheme="minorEastAsia"/>
                <w:sz w:val="21"/>
                <w:szCs w:val="21"/>
              </w:rPr>
              <w:t>”</w:t>
            </w:r>
            <w:r>
              <w:rPr>
                <w:rFonts w:hAnsiTheme="minorEastAsia" w:eastAsiaTheme="minorEastAsia"/>
                <w:sz w:val="21"/>
                <w:szCs w:val="21"/>
              </w:rPr>
              <w:t>，检查考核已完成，考核人</w:t>
            </w:r>
            <w:r>
              <w:rPr>
                <w:rFonts w:hint="eastAsia" w:hAnsiTheme="minorEastAsia" w:eastAsiaTheme="minorEastAsia"/>
                <w:sz w:val="21"/>
                <w:szCs w:val="21"/>
                <w:lang w:val="en-US" w:eastAsia="zh-CN"/>
              </w:rPr>
              <w:t>白蕊</w:t>
            </w:r>
            <w:r>
              <w:rPr>
                <w:rFonts w:hAnsiTheme="minorEastAsia" w:eastAsiaTheme="minorEastAsia"/>
                <w:sz w:val="21"/>
                <w:szCs w:val="21"/>
              </w:rPr>
              <w:t>。</w:t>
            </w:r>
          </w:p>
          <w:p>
            <w:pPr>
              <w:spacing w:line="360" w:lineRule="auto"/>
              <w:ind w:firstLine="420" w:firstLineChars="200"/>
              <w:jc w:val="left"/>
              <w:rPr>
                <w:rFonts w:eastAsiaTheme="minorEastAsia"/>
                <w:sz w:val="21"/>
                <w:szCs w:val="21"/>
              </w:rPr>
            </w:pPr>
            <w:r>
              <w:rPr>
                <w:rFonts w:hAnsiTheme="minorEastAsia" w:eastAsiaTheme="minorEastAsia"/>
                <w:sz w:val="21"/>
                <w:szCs w:val="21"/>
              </w:rPr>
              <w:t>查环境、安全检查记录，公司提供了</w:t>
            </w:r>
            <w:r>
              <w:rPr>
                <w:rFonts w:hint="eastAsia" w:hAnsiTheme="minorEastAsia" w:eastAsiaTheme="minorEastAsia"/>
                <w:sz w:val="21"/>
                <w:szCs w:val="21"/>
              </w:rPr>
              <w:t>2020年1</w:t>
            </w:r>
            <w:r>
              <w:rPr>
                <w:rFonts w:hint="eastAsia" w:hAnsiTheme="minorEastAsia" w:eastAsiaTheme="minorEastAsia"/>
                <w:sz w:val="21"/>
                <w:szCs w:val="21"/>
                <w:lang w:val="en-US" w:eastAsia="zh-CN"/>
              </w:rPr>
              <w:t>2</w:t>
            </w:r>
            <w:r>
              <w:rPr>
                <w:rFonts w:hint="eastAsia" w:hAnsiTheme="minorEastAsia" w:eastAsiaTheme="minorEastAsia"/>
                <w:sz w:val="21"/>
                <w:szCs w:val="21"/>
              </w:rPr>
              <w:t>月-</w:t>
            </w:r>
            <w:r>
              <w:rPr>
                <w:rFonts w:hint="eastAsia" w:hAnsiTheme="minorEastAsia" w:eastAsiaTheme="minorEastAsia"/>
                <w:sz w:val="21"/>
                <w:szCs w:val="21"/>
                <w:lang w:val="en-US" w:eastAsia="zh-CN"/>
              </w:rPr>
              <w:t>2021年2</w:t>
            </w:r>
            <w:r>
              <w:rPr>
                <w:rFonts w:hint="eastAsia" w:hAnsiTheme="minorEastAsia" w:eastAsiaTheme="minorEastAsia"/>
                <w:sz w:val="21"/>
                <w:szCs w:val="21"/>
              </w:rPr>
              <w:t>月</w:t>
            </w:r>
            <w:r>
              <w:rPr>
                <w:rFonts w:hAnsiTheme="minorEastAsia" w:eastAsiaTheme="minorEastAsia"/>
                <w:sz w:val="21"/>
                <w:szCs w:val="21"/>
              </w:rPr>
              <w:t>《环境安全运行检查记录》检查项目内容涉及：</w:t>
            </w:r>
          </w:p>
          <w:p>
            <w:pPr>
              <w:spacing w:line="360" w:lineRule="auto"/>
              <w:ind w:firstLine="420" w:firstLineChars="200"/>
              <w:jc w:val="left"/>
              <w:rPr>
                <w:rFonts w:hAnsiTheme="minorEastAsia" w:eastAsiaTheme="minorEastAsia"/>
                <w:sz w:val="21"/>
                <w:szCs w:val="21"/>
              </w:rPr>
            </w:pPr>
            <w:r>
              <w:rPr>
                <w:rFonts w:hint="eastAsia" w:hAnsiTheme="minorEastAsia" w:eastAsiaTheme="minorEastAsia"/>
                <w:sz w:val="21"/>
                <w:szCs w:val="21"/>
              </w:rPr>
              <w:t>各区域卫生垃圾处理，废料处理、物料储存安全情况；消防设施是否完好；消防通道是否畅通；消防设施是否定期进行点检；人员是否按规定穿戴防护用品，设备安全情况、噪音情况、</w:t>
            </w:r>
            <w:r>
              <w:rPr>
                <w:rFonts w:hint="eastAsia" w:ascii="宋体" w:hAnsi="宋体"/>
                <w:sz w:val="21"/>
                <w:szCs w:val="21"/>
              </w:rPr>
              <w:t>生产安全用电情况、用电是否有乱搭线现象；接地保护是否完好</w:t>
            </w:r>
            <w:r>
              <w:rPr>
                <w:rFonts w:hint="eastAsia" w:hAnsiTheme="minorEastAsia" w:eastAsiaTheme="minorEastAsia"/>
                <w:sz w:val="21"/>
                <w:szCs w:val="21"/>
              </w:rPr>
              <w:t>等</w:t>
            </w:r>
            <w:r>
              <w:rPr>
                <w:rFonts w:hAnsiTheme="minorEastAsia" w:eastAsiaTheme="minorEastAsia"/>
                <w:sz w:val="21"/>
                <w:szCs w:val="21"/>
              </w:rPr>
              <w:t>。检查人</w:t>
            </w:r>
            <w:r>
              <w:rPr>
                <w:rFonts w:hint="eastAsia" w:hAnsiTheme="minorEastAsia" w:eastAsiaTheme="minorEastAsia"/>
                <w:sz w:val="21"/>
                <w:szCs w:val="21"/>
                <w:lang w:val="en-US" w:eastAsia="zh-CN"/>
              </w:rPr>
              <w:t>白蕊</w:t>
            </w:r>
            <w:r>
              <w:rPr>
                <w:rFonts w:hAnsiTheme="minorEastAsia" w:eastAsiaTheme="minorEastAsia"/>
                <w:sz w:val="21"/>
                <w:szCs w:val="21"/>
              </w:rPr>
              <w:t>。</w:t>
            </w:r>
          </w:p>
          <w:p>
            <w:pPr>
              <w:spacing w:line="360" w:lineRule="auto"/>
              <w:ind w:firstLine="420" w:firstLineChars="200"/>
              <w:jc w:val="left"/>
              <w:rPr>
                <w:rFonts w:hAnsiTheme="minorEastAsia" w:eastAsiaTheme="minorEastAsia"/>
                <w:sz w:val="21"/>
                <w:szCs w:val="21"/>
              </w:rPr>
            </w:pPr>
            <w:r>
              <w:rPr>
                <w:rFonts w:hAnsiTheme="minorEastAsia" w:eastAsiaTheme="minorEastAsia"/>
                <w:sz w:val="21"/>
                <w:szCs w:val="21"/>
              </w:rPr>
              <w:t>公司提供了</w:t>
            </w:r>
            <w:r>
              <w:rPr>
                <w:rFonts w:hint="eastAsia" w:hAnsiTheme="minorEastAsia" w:eastAsiaTheme="minorEastAsia"/>
                <w:sz w:val="21"/>
                <w:szCs w:val="21"/>
              </w:rPr>
              <w:t>2020年</w:t>
            </w:r>
            <w:r>
              <w:rPr>
                <w:rFonts w:hint="eastAsia" w:hAnsiTheme="minorEastAsia" w:eastAsiaTheme="minorEastAsia"/>
                <w:sz w:val="21"/>
                <w:szCs w:val="21"/>
                <w:lang w:val="en-US" w:eastAsia="zh-CN"/>
              </w:rPr>
              <w:t>12</w:t>
            </w:r>
            <w:r>
              <w:rPr>
                <w:rFonts w:hint="eastAsia" w:hAnsiTheme="minorEastAsia" w:eastAsiaTheme="minorEastAsia"/>
                <w:sz w:val="21"/>
                <w:szCs w:val="21"/>
              </w:rPr>
              <w:t>月份员工体检记录；抽查了员工</w:t>
            </w:r>
            <w:r>
              <w:rPr>
                <w:rFonts w:hint="eastAsia" w:hAnsiTheme="minorEastAsia" w:eastAsiaTheme="minorEastAsia"/>
                <w:sz w:val="21"/>
                <w:szCs w:val="21"/>
                <w:lang w:val="en-US" w:eastAsia="zh-CN"/>
              </w:rPr>
              <w:t>陈连雄</w:t>
            </w:r>
            <w:r>
              <w:rPr>
                <w:rFonts w:hint="eastAsia" w:hAnsiTheme="minorEastAsia" w:eastAsiaTheme="minorEastAsia"/>
                <w:sz w:val="21"/>
                <w:szCs w:val="21"/>
              </w:rPr>
              <w:t>、</w:t>
            </w:r>
            <w:r>
              <w:rPr>
                <w:rFonts w:hint="eastAsia" w:hAnsiTheme="minorEastAsia" w:eastAsiaTheme="minorEastAsia"/>
                <w:sz w:val="21"/>
                <w:szCs w:val="21"/>
                <w:lang w:val="en-US" w:eastAsia="zh-CN"/>
              </w:rPr>
              <w:t>高海峰</w:t>
            </w:r>
            <w:r>
              <w:rPr>
                <w:rFonts w:hint="eastAsia" w:hAnsiTheme="minorEastAsia" w:eastAsiaTheme="minorEastAsia"/>
                <w:sz w:val="21"/>
                <w:szCs w:val="21"/>
              </w:rPr>
              <w:t>、</w:t>
            </w:r>
            <w:r>
              <w:rPr>
                <w:rFonts w:hint="eastAsia" w:hAnsiTheme="minorEastAsia" w:eastAsiaTheme="minorEastAsia"/>
                <w:sz w:val="21"/>
                <w:szCs w:val="21"/>
                <w:lang w:val="en-US" w:eastAsia="zh-CN"/>
              </w:rPr>
              <w:t>郭兴周等</w:t>
            </w:r>
            <w:r>
              <w:rPr>
                <w:rFonts w:hint="eastAsia" w:hAnsiTheme="minorEastAsia" w:eastAsiaTheme="minorEastAsia"/>
                <w:sz w:val="21"/>
                <w:szCs w:val="21"/>
              </w:rPr>
              <w:t>的体检报告，结果：无异常。</w:t>
            </w:r>
          </w:p>
          <w:p>
            <w:pPr>
              <w:spacing w:line="360" w:lineRule="auto"/>
              <w:ind w:firstLine="420" w:firstLineChars="200"/>
              <w:jc w:val="left"/>
              <w:rPr>
                <w:rFonts w:hAnsiTheme="minorEastAsia" w:eastAsiaTheme="minorEastAsia"/>
                <w:sz w:val="21"/>
                <w:szCs w:val="21"/>
              </w:rPr>
            </w:pPr>
            <w:r>
              <w:rPr>
                <w:rFonts w:hAnsiTheme="minorEastAsia" w:eastAsiaTheme="minorEastAsia"/>
                <w:sz w:val="21"/>
                <w:szCs w:val="21"/>
              </w:rPr>
              <w:t>未有上级主管部门的监督检查。</w:t>
            </w:r>
          </w:p>
          <w:p>
            <w:pPr>
              <w:spacing w:line="360" w:lineRule="auto"/>
              <w:ind w:firstLine="420" w:firstLineChars="200"/>
              <w:jc w:val="left"/>
              <w:rPr>
                <w:rFonts w:eastAsiaTheme="minorEastAsia"/>
                <w:sz w:val="21"/>
                <w:szCs w:val="21"/>
              </w:rPr>
            </w:pPr>
            <w:r>
              <w:rPr>
                <w:rFonts w:hAnsiTheme="minorEastAsia" w:eastAsiaTheme="minorEastAsia"/>
                <w:sz w:val="21"/>
                <w:szCs w:val="21"/>
              </w:rPr>
              <w:t>公司经营能遵守相关的法律法规，没有违反环境、职业健康安全法律法规现象，近期没有发生环境与职业健康安全的事故。</w:t>
            </w:r>
          </w:p>
        </w:tc>
        <w:tc>
          <w:tcPr>
            <w:tcW w:w="1585" w:type="dxa"/>
          </w:tcPr>
          <w:p>
            <w:pPr>
              <w:spacing w:line="360" w:lineRule="auto"/>
              <w:rPr>
                <w:rFonts w:eastAsiaTheme="minorEastAsia"/>
                <w:sz w:val="21"/>
                <w:szCs w:val="21"/>
                <w:highlight w:val="yellow"/>
              </w:rPr>
            </w:pPr>
            <w:r>
              <w:rPr>
                <w:rFonts w:hint="eastAsia" w:eastAsia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242" w:type="dxa"/>
            <w:vAlign w:val="center"/>
          </w:tcPr>
          <w:p>
            <w:pPr>
              <w:spacing w:line="360" w:lineRule="auto"/>
              <w:rPr>
                <w:rFonts w:eastAsiaTheme="minorEastAsia"/>
                <w:sz w:val="21"/>
                <w:szCs w:val="21"/>
              </w:rPr>
            </w:pPr>
            <w:r>
              <w:rPr>
                <w:rFonts w:hAnsiTheme="minorEastAsia" w:eastAsiaTheme="minorEastAsia"/>
                <w:sz w:val="21"/>
                <w:szCs w:val="21"/>
              </w:rPr>
              <w:t>运行策划和控制</w:t>
            </w:r>
          </w:p>
        </w:tc>
        <w:tc>
          <w:tcPr>
            <w:tcW w:w="1276" w:type="dxa"/>
            <w:vAlign w:val="center"/>
          </w:tcPr>
          <w:p>
            <w:pPr>
              <w:spacing w:line="360" w:lineRule="auto"/>
              <w:rPr>
                <w:rFonts w:eastAsiaTheme="minorEastAsia"/>
                <w:bCs/>
                <w:sz w:val="21"/>
                <w:szCs w:val="21"/>
              </w:rPr>
            </w:pPr>
            <w:r>
              <w:rPr>
                <w:rFonts w:eastAsiaTheme="minorEastAsia"/>
                <w:bCs/>
                <w:sz w:val="21"/>
                <w:szCs w:val="21"/>
              </w:rPr>
              <w:t>E8.1</w:t>
            </w:r>
          </w:p>
          <w:p>
            <w:pPr>
              <w:spacing w:line="360" w:lineRule="auto"/>
              <w:rPr>
                <w:rFonts w:eastAsiaTheme="minorEastAsia"/>
                <w:sz w:val="21"/>
                <w:szCs w:val="21"/>
              </w:rPr>
            </w:pPr>
            <w:r>
              <w:rPr>
                <w:rFonts w:eastAsiaTheme="minorEastAsia"/>
                <w:bCs/>
                <w:sz w:val="21"/>
                <w:szCs w:val="21"/>
              </w:rPr>
              <w:t>O</w:t>
            </w:r>
            <w:r>
              <w:rPr>
                <w:rFonts w:eastAsiaTheme="minorEastAsia"/>
                <w:sz w:val="21"/>
                <w:szCs w:val="21"/>
              </w:rPr>
              <w:t>8.1</w:t>
            </w:r>
          </w:p>
          <w:p>
            <w:pPr>
              <w:spacing w:line="360" w:lineRule="auto"/>
              <w:rPr>
                <w:rFonts w:eastAsiaTheme="minorEastAsia"/>
                <w:sz w:val="21"/>
                <w:szCs w:val="21"/>
              </w:rPr>
            </w:pPr>
          </w:p>
        </w:tc>
        <w:tc>
          <w:tcPr>
            <w:tcW w:w="10606" w:type="dxa"/>
            <w:vAlign w:val="center"/>
          </w:tcPr>
          <w:p>
            <w:pPr>
              <w:spacing w:line="360" w:lineRule="auto"/>
              <w:ind w:firstLine="420" w:firstLineChars="200"/>
            </w:pPr>
            <w:r>
              <w:rPr>
                <w:rFonts w:hint="eastAsia"/>
              </w:rPr>
              <w:t>本部门执行节能降耗控制程序、固体废弃物控制程序、环境管理控制程序、档案管理制定合同管理制定、印章管理制度、代理工作办法项目管理手册</w:t>
            </w:r>
            <w:r>
              <w:rPr>
                <w:rFonts w:hint="eastAsia"/>
                <w:lang w:val="en-GB"/>
              </w:rPr>
              <w:t>、车辆管理规定</w:t>
            </w:r>
            <w:r>
              <w:rPr>
                <w:rFonts w:hint="eastAsia"/>
              </w:rPr>
              <w:t>等。</w:t>
            </w:r>
          </w:p>
          <w:p>
            <w:pPr>
              <w:spacing w:line="360" w:lineRule="auto"/>
              <w:ind w:firstLine="420" w:firstLineChars="200"/>
              <w:rPr>
                <w:lang w:val="en-GB"/>
              </w:rPr>
            </w:pPr>
            <w:r>
              <w:rPr>
                <w:rFonts w:hint="eastAsia"/>
                <w:lang w:val="en-GB"/>
              </w:rPr>
              <w:t>运行控制情况：办公过程注意节约用电，做到人走灯灭，电脑长时间不用时关机，下班前要关闭电源；办公区域内配置的灭火器,在有效期内。</w:t>
            </w:r>
          </w:p>
          <w:p>
            <w:pPr>
              <w:spacing w:line="360" w:lineRule="auto"/>
              <w:rPr>
                <w:lang w:val="en-GB"/>
              </w:rPr>
            </w:pPr>
            <w:r>
              <w:rPr>
                <w:rFonts w:hint="eastAsia"/>
              </w:rPr>
              <w:t>办公过程使用的电器如：空调、电脑、灯具均符合安全设计要求，使用过程注意安全，预防触电，工作时间平均每天8小时；</w:t>
            </w:r>
          </w:p>
          <w:p>
            <w:pPr>
              <w:spacing w:line="360" w:lineRule="auto"/>
              <w:ind w:firstLine="420" w:firstLineChars="200"/>
              <w:rPr>
                <w:lang w:val="en-GB"/>
              </w:rPr>
            </w:pPr>
            <w:r>
              <w:rPr>
                <w:rFonts w:hint="eastAsia"/>
                <w:lang w:val="en-GB"/>
              </w:rPr>
              <w:t>办公用品按要求由</w:t>
            </w:r>
            <w:r>
              <w:rPr>
                <w:rFonts w:hint="eastAsia"/>
              </w:rPr>
              <w:t>综合部</w:t>
            </w:r>
            <w:r>
              <w:rPr>
                <w:rFonts w:hint="eastAsia"/>
                <w:lang w:val="en-GB"/>
              </w:rPr>
              <w:t>负责发放，作好记录；</w:t>
            </w:r>
          </w:p>
          <w:p>
            <w:pPr>
              <w:spacing w:line="360" w:lineRule="auto"/>
              <w:ind w:firstLine="420" w:firstLineChars="200"/>
              <w:rPr>
                <w:lang w:val="en-GB"/>
              </w:rPr>
            </w:pPr>
            <w:r>
              <w:rPr>
                <w:rFonts w:hint="eastAsia"/>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spacing w:line="360" w:lineRule="auto"/>
              <w:ind w:firstLine="420" w:firstLineChars="200"/>
              <w:rPr>
                <w:lang w:val="en-GB"/>
              </w:rPr>
            </w:pPr>
            <w:r>
              <w:rPr>
                <w:rFonts w:hint="eastAsia"/>
                <w:lang w:val="en-GB"/>
              </w:rPr>
              <w:t>公司办公产生的废硒鼓、废墨盒、色带由供应方公司回收；</w:t>
            </w:r>
          </w:p>
          <w:p>
            <w:pPr>
              <w:spacing w:line="360" w:lineRule="auto"/>
            </w:pPr>
            <w:r>
              <w:rPr>
                <w:rFonts w:hint="eastAsia"/>
              </w:rPr>
              <w:t>查：废弃物回收处理登记表。</w:t>
            </w:r>
            <w:r>
              <w:rPr>
                <w:rFonts w:hint="eastAsia"/>
                <w:lang w:val="en-GB"/>
              </w:rPr>
              <w:t xml:space="preserve">废弃物种类、排放量  </w:t>
            </w:r>
            <w:r>
              <w:rPr>
                <w:lang w:val="en-GB"/>
              </w:rPr>
              <w:t xml:space="preserve"> </w:t>
            </w:r>
            <w:r>
              <w:rPr>
                <w:rFonts w:hint="eastAsia"/>
                <w:lang w:val="en-GB"/>
              </w:rPr>
              <w:t>日期</w:t>
            </w:r>
            <w:r>
              <w:rPr>
                <w:rFonts w:hint="eastAsia"/>
                <w:lang w:val="en-GB"/>
              </w:rPr>
              <w:tab/>
            </w:r>
            <w:r>
              <w:rPr>
                <w:lang w:val="en-GB"/>
              </w:rPr>
              <w:t xml:space="preserve">      </w:t>
            </w:r>
            <w:r>
              <w:rPr>
                <w:rFonts w:hint="eastAsia"/>
                <w:lang w:val="en-GB"/>
              </w:rPr>
              <w:t>统计人</w:t>
            </w:r>
            <w:r>
              <w:rPr>
                <w:rFonts w:hint="eastAsia"/>
                <w:lang w:val="en-GB"/>
              </w:rPr>
              <w:tab/>
            </w:r>
            <w:r>
              <w:rPr>
                <w:lang w:val="en-GB"/>
              </w:rPr>
              <w:t xml:space="preserve">    </w:t>
            </w:r>
            <w:r>
              <w:rPr>
                <w:rFonts w:hint="eastAsia"/>
                <w:lang w:val="en-GB"/>
              </w:rPr>
              <w:t>处置办法</w:t>
            </w:r>
            <w:r>
              <w:rPr>
                <w:rFonts w:hint="eastAsia"/>
                <w:lang w:val="en-GB"/>
              </w:rPr>
              <w:tab/>
            </w:r>
          </w:p>
          <w:p>
            <w:pPr>
              <w:spacing w:line="360" w:lineRule="auto"/>
              <w:rPr>
                <w:lang w:val="en-GB"/>
              </w:rPr>
            </w:pPr>
            <w:r>
              <w:rPr>
                <w:rFonts w:hint="eastAsia"/>
                <w:lang w:val="en-GB"/>
              </w:rPr>
              <w:t xml:space="preserve">废硒鼓墨盒 </w:t>
            </w:r>
            <w:r>
              <w:rPr>
                <w:lang w:val="en-GB"/>
              </w:rPr>
              <w:t xml:space="preserve">   </w:t>
            </w:r>
            <w:r>
              <w:rPr>
                <w:rFonts w:hint="eastAsia"/>
              </w:rPr>
              <w:t>6</w:t>
            </w:r>
            <w:r>
              <w:rPr>
                <w:rFonts w:hint="eastAsia"/>
                <w:lang w:val="en-GB"/>
              </w:rPr>
              <w:t xml:space="preserve">个 </w:t>
            </w:r>
            <w:r>
              <w:rPr>
                <w:lang w:val="en-GB"/>
              </w:rPr>
              <w:t xml:space="preserve"> </w:t>
            </w:r>
            <w:r>
              <w:rPr>
                <w:rFonts w:hint="eastAsia"/>
                <w:lang w:val="en-GB"/>
              </w:rPr>
              <w:t>20</w:t>
            </w:r>
            <w:r>
              <w:rPr>
                <w:rFonts w:hint="eastAsia"/>
                <w:lang w:val="en-US" w:eastAsia="zh-CN"/>
              </w:rPr>
              <w:t>21</w:t>
            </w:r>
            <w:r>
              <w:rPr>
                <w:rFonts w:hint="eastAsia"/>
                <w:lang w:val="en-GB"/>
              </w:rPr>
              <w:t>.</w:t>
            </w:r>
            <w:r>
              <w:rPr>
                <w:rFonts w:hint="eastAsia"/>
                <w:lang w:val="en-US" w:eastAsia="zh-CN"/>
              </w:rPr>
              <w:t>2</w:t>
            </w:r>
            <w:r>
              <w:rPr>
                <w:rFonts w:hint="eastAsia"/>
                <w:lang w:val="en-GB"/>
              </w:rPr>
              <w:t>.</w:t>
            </w:r>
            <w:r>
              <w:rPr>
                <w:rFonts w:hint="eastAsia"/>
              </w:rPr>
              <w:t>20</w:t>
            </w:r>
            <w:r>
              <w:rPr>
                <w:rFonts w:hint="eastAsia"/>
                <w:lang w:val="en-GB"/>
              </w:rPr>
              <w:tab/>
            </w:r>
            <w:r>
              <w:rPr>
                <w:lang w:val="en-GB"/>
              </w:rPr>
              <w:t xml:space="preserve">  </w:t>
            </w:r>
            <w:r>
              <w:rPr>
                <w:rFonts w:hint="eastAsia"/>
                <w:lang w:val="en-GB"/>
              </w:rPr>
              <w:t>集中存放交供应商</w:t>
            </w:r>
          </w:p>
          <w:p>
            <w:pPr>
              <w:spacing w:line="360" w:lineRule="auto"/>
              <w:rPr>
                <w:lang w:val="en-GB"/>
              </w:rPr>
            </w:pPr>
            <w:r>
              <w:rPr>
                <w:rFonts w:hint="eastAsia"/>
                <w:lang w:val="en-GB"/>
              </w:rPr>
              <w:t xml:space="preserve">生活垃圾 </w:t>
            </w:r>
            <w:r>
              <w:rPr>
                <w:lang w:val="en-GB"/>
              </w:rPr>
              <w:t xml:space="preserve"> </w:t>
            </w:r>
            <w:r>
              <w:rPr>
                <w:rFonts w:hint="eastAsia"/>
                <w:lang w:val="en-GB"/>
              </w:rPr>
              <w:t>随时</w:t>
            </w:r>
            <w:r>
              <w:rPr>
                <w:rFonts w:hint="eastAsia"/>
                <w:lang w:val="en-GB"/>
              </w:rPr>
              <w:tab/>
            </w:r>
            <w:r>
              <w:rPr>
                <w:rFonts w:hint="eastAsia"/>
                <w:lang w:val="en-GB"/>
              </w:rPr>
              <w:t>环卫所</w:t>
            </w:r>
          </w:p>
          <w:p>
            <w:pPr>
              <w:spacing w:line="360" w:lineRule="auto"/>
              <w:ind w:firstLine="420" w:firstLineChars="200"/>
              <w:rPr>
                <w:lang w:val="en-GB"/>
              </w:rPr>
            </w:pPr>
            <w:r>
              <w:rPr>
                <w:rFonts w:hint="eastAsia"/>
                <w:lang w:val="en-GB"/>
              </w:rPr>
              <w:t>查到公司为员工缴纳了养老、工伤、医疗等保险。</w:t>
            </w:r>
          </w:p>
          <w:p>
            <w:pPr>
              <w:spacing w:line="360" w:lineRule="auto"/>
              <w:ind w:firstLine="420" w:firstLineChars="200"/>
            </w:pPr>
            <w:r>
              <w:rPr>
                <w:rFonts w:hint="eastAsia"/>
                <w:lang w:val="en-GB"/>
              </w:rPr>
              <w:t>提供了缴纳保险的</w:t>
            </w:r>
            <w:r>
              <w:rPr>
                <w:rFonts w:hint="eastAsia"/>
              </w:rPr>
              <w:t>票据及社会保险在职人员信息统计表。</w:t>
            </w:r>
          </w:p>
          <w:p>
            <w:pPr>
              <w:spacing w:line="360" w:lineRule="auto"/>
              <w:ind w:firstLine="420" w:firstLineChars="200"/>
            </w:pPr>
            <w:r>
              <w:rPr>
                <w:rFonts w:hint="eastAsia"/>
              </w:rPr>
              <w:t>驾驶员要求遵守道路交通安全法，不违章驾车，驾驶证和车辆定期年审，确保行车安全。</w:t>
            </w:r>
          </w:p>
          <w:p>
            <w:pPr>
              <w:pStyle w:val="21"/>
              <w:spacing w:line="360" w:lineRule="auto"/>
              <w:ind w:firstLine="460" w:firstLineChars="200"/>
            </w:pPr>
            <w:r>
              <w:rPr>
                <w:rFonts w:hint="eastAsia"/>
              </w:rPr>
              <w:t>提供了20</w:t>
            </w:r>
            <w:r>
              <w:rPr>
                <w:rFonts w:hint="eastAsia"/>
                <w:lang w:val="en-US" w:eastAsia="zh-CN"/>
              </w:rPr>
              <w:t>21</w:t>
            </w:r>
            <w:r>
              <w:rPr>
                <w:rFonts w:hint="eastAsia"/>
              </w:rPr>
              <w:t>年</w:t>
            </w:r>
            <w:r>
              <w:rPr>
                <w:rFonts w:hint="eastAsia"/>
                <w:lang w:val="en-US" w:eastAsia="zh-CN"/>
              </w:rPr>
              <w:t>1</w:t>
            </w:r>
            <w:r>
              <w:rPr>
                <w:rFonts w:hint="eastAsia"/>
              </w:rPr>
              <w:t>季度工作环境检查表，抽查： 20</w:t>
            </w:r>
            <w:r>
              <w:rPr>
                <w:rFonts w:hint="eastAsia"/>
                <w:lang w:val="en-US" w:eastAsia="zh-CN"/>
              </w:rPr>
              <w:t>21</w:t>
            </w:r>
            <w:r>
              <w:rPr>
                <w:rFonts w:hint="eastAsia"/>
              </w:rPr>
              <w:t>.</w:t>
            </w:r>
            <w:r>
              <w:rPr>
                <w:rFonts w:hint="eastAsia"/>
                <w:lang w:val="en-US" w:eastAsia="zh-CN"/>
              </w:rPr>
              <w:t>3</w:t>
            </w:r>
            <w:r>
              <w:rPr>
                <w:rFonts w:hint="eastAsia"/>
              </w:rPr>
              <w:t>.</w:t>
            </w:r>
            <w:r>
              <w:rPr>
                <w:rFonts w:hint="eastAsia"/>
                <w:lang w:val="en-US" w:eastAsia="zh-CN"/>
              </w:rPr>
              <w:t>1</w:t>
            </w:r>
            <w:r>
              <w:rPr>
                <w:rFonts w:hint="eastAsia"/>
              </w:rPr>
              <w:t>0的检查表，对办公环境、卫生等情况进行了检查，检查人：白蕊 ，无问题。公司无食堂</w:t>
            </w:r>
          </w:p>
          <w:p>
            <w:pPr>
              <w:pStyle w:val="21"/>
              <w:spacing w:line="360" w:lineRule="auto"/>
              <w:ind w:firstLine="460" w:firstLineChars="200"/>
            </w:pPr>
            <w:r>
              <w:rPr>
                <w:rFonts w:hint="eastAsia"/>
              </w:rPr>
              <w:t>查：财务提供环保安全资金清单：</w:t>
            </w:r>
          </w:p>
          <w:p>
            <w:pPr>
              <w:pStyle w:val="21"/>
              <w:spacing w:line="360" w:lineRule="auto"/>
              <w:ind w:firstLine="460" w:firstLineChars="200"/>
              <w:rPr>
                <w:rFonts w:hint="default"/>
                <w:lang w:val="en-US" w:eastAsia="zh-CN"/>
              </w:rPr>
            </w:pPr>
            <w:r>
              <w:rPr>
                <w:rFonts w:hint="eastAsia"/>
              </w:rPr>
              <w:t>人员体检：</w:t>
            </w:r>
            <w:r>
              <w:rPr>
                <w:rFonts w:hint="eastAsia"/>
                <w:lang w:val="en-US" w:eastAsia="zh-CN"/>
              </w:rPr>
              <w:t>2500</w:t>
            </w:r>
          </w:p>
          <w:p>
            <w:pPr>
              <w:pStyle w:val="21"/>
              <w:spacing w:line="360" w:lineRule="auto"/>
              <w:ind w:firstLine="460" w:firstLineChars="200"/>
              <w:rPr>
                <w:rFonts w:hint="default"/>
                <w:lang w:val="en-US" w:eastAsia="zh-CN"/>
              </w:rPr>
            </w:pPr>
            <w:r>
              <w:rPr>
                <w:rFonts w:hint="eastAsia"/>
              </w:rPr>
              <w:t>安全培训：</w:t>
            </w:r>
            <w:r>
              <w:rPr>
                <w:rFonts w:hint="eastAsia"/>
                <w:lang w:val="en-US" w:eastAsia="zh-CN"/>
              </w:rPr>
              <w:t>1960</w:t>
            </w:r>
          </w:p>
          <w:p>
            <w:pPr>
              <w:pStyle w:val="21"/>
              <w:spacing w:line="360" w:lineRule="auto"/>
              <w:ind w:firstLine="460" w:firstLineChars="200"/>
              <w:rPr>
                <w:rFonts w:hint="default"/>
                <w:lang w:val="en-US" w:eastAsia="zh-CN"/>
              </w:rPr>
            </w:pPr>
            <w:r>
              <w:rPr>
                <w:rFonts w:hint="eastAsia"/>
              </w:rPr>
              <w:t>劳保用品：</w:t>
            </w:r>
            <w:r>
              <w:rPr>
                <w:rFonts w:hint="eastAsia"/>
                <w:lang w:val="en-US" w:eastAsia="zh-CN"/>
              </w:rPr>
              <w:t>2000</w:t>
            </w:r>
          </w:p>
          <w:p>
            <w:pPr>
              <w:pStyle w:val="21"/>
              <w:spacing w:line="360" w:lineRule="auto"/>
              <w:ind w:firstLine="460" w:firstLineChars="200"/>
              <w:rPr>
                <w:rFonts w:hint="default"/>
                <w:lang w:val="en-US" w:eastAsia="zh-CN"/>
              </w:rPr>
            </w:pPr>
            <w:r>
              <w:rPr>
                <w:rFonts w:hint="eastAsia"/>
              </w:rPr>
              <w:t>消防设备：</w:t>
            </w:r>
            <w:r>
              <w:rPr>
                <w:rFonts w:hint="eastAsia"/>
                <w:lang w:val="en-US" w:eastAsia="zh-CN"/>
              </w:rPr>
              <w:t>3750等</w:t>
            </w:r>
          </w:p>
          <w:p>
            <w:pPr>
              <w:pStyle w:val="21"/>
              <w:spacing w:line="360" w:lineRule="auto"/>
              <w:ind w:firstLine="460" w:firstLineChars="200"/>
            </w:pPr>
            <w:r>
              <w:rPr>
                <w:rFonts w:hint="eastAsia"/>
                <w:lang w:eastAsia="zh-CN"/>
              </w:rPr>
              <w:drawing>
                <wp:anchor distT="0" distB="0" distL="114300" distR="114300" simplePos="0" relativeHeight="251658240" behindDoc="0" locked="0" layoutInCell="1" allowOverlap="1">
                  <wp:simplePos x="0" y="0"/>
                  <wp:positionH relativeFrom="column">
                    <wp:posOffset>996950</wp:posOffset>
                  </wp:positionH>
                  <wp:positionV relativeFrom="paragraph">
                    <wp:posOffset>-743585</wp:posOffset>
                  </wp:positionV>
                  <wp:extent cx="2622550" cy="4662170"/>
                  <wp:effectExtent l="0" t="0" r="11430" b="6350"/>
                  <wp:wrapNone/>
                  <wp:docPr id="2" name="图片 2" descr="9cdb5acc0d2ac58b5c8891b7c50c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cdb5acc0d2ac58b5c8891b7c50c985"/>
                          <pic:cNvPicPr>
                            <a:picLocks noChangeAspect="1"/>
                          </pic:cNvPicPr>
                        </pic:nvPicPr>
                        <pic:blipFill>
                          <a:blip r:embed="rId11"/>
                          <a:stretch>
                            <a:fillRect/>
                          </a:stretch>
                        </pic:blipFill>
                        <pic:spPr>
                          <a:xfrm rot="16200000">
                            <a:off x="0" y="0"/>
                            <a:ext cx="2622550" cy="4662170"/>
                          </a:xfrm>
                          <a:prstGeom prst="rect">
                            <a:avLst/>
                          </a:prstGeom>
                        </pic:spPr>
                      </pic:pic>
                    </a:graphicData>
                  </a:graphic>
                </wp:anchor>
              </w:drawing>
            </w:r>
            <w:r>
              <w:rPr>
                <w:rFonts w:hint="eastAsia"/>
              </w:rPr>
              <w:t>公司财务运行良好，能保证安全环境保护的资金。</w:t>
            </w:r>
          </w:p>
          <w:p>
            <w:pPr>
              <w:spacing w:line="360" w:lineRule="auto"/>
              <w:ind w:firstLine="420" w:firstLineChars="200"/>
              <w:rPr>
                <w:rFonts w:hint="eastAsia"/>
                <w:lang w:eastAsia="zh-CN"/>
              </w:rPr>
            </w:pPr>
          </w:p>
          <w:p>
            <w:pPr>
              <w:pStyle w:val="2"/>
              <w:rPr>
                <w:rFonts w:hint="eastAsia" w:eastAsiaTheme="minorEastAsia"/>
                <w:sz w:val="21"/>
                <w:szCs w:val="21"/>
                <w:lang w:eastAsia="zh-CN"/>
              </w:rPr>
            </w:pPr>
          </w:p>
          <w:p>
            <w:pPr>
              <w:pStyle w:val="2"/>
              <w:rPr>
                <w:rFonts w:hint="eastAsia" w:eastAsiaTheme="minorEastAsia"/>
                <w:sz w:val="21"/>
                <w:szCs w:val="21"/>
                <w:lang w:eastAsia="zh-CN"/>
              </w:rPr>
            </w:pPr>
          </w:p>
          <w:p>
            <w:pPr>
              <w:pStyle w:val="2"/>
              <w:rPr>
                <w:rFonts w:hint="eastAsia" w:eastAsiaTheme="minorEastAsia"/>
                <w:sz w:val="21"/>
                <w:szCs w:val="21"/>
                <w:lang w:eastAsia="zh-CN"/>
              </w:rPr>
            </w:pPr>
          </w:p>
          <w:p>
            <w:pPr>
              <w:pStyle w:val="2"/>
              <w:rPr>
                <w:rFonts w:hint="eastAsia" w:eastAsiaTheme="minorEastAsia"/>
                <w:sz w:val="21"/>
                <w:szCs w:val="21"/>
                <w:lang w:eastAsia="zh-CN"/>
              </w:rPr>
            </w:pPr>
          </w:p>
          <w:p>
            <w:pPr>
              <w:pStyle w:val="2"/>
              <w:rPr>
                <w:rFonts w:hint="eastAsia" w:eastAsiaTheme="minorEastAsia"/>
                <w:sz w:val="21"/>
                <w:szCs w:val="21"/>
                <w:lang w:eastAsia="zh-CN"/>
              </w:rPr>
            </w:pPr>
          </w:p>
          <w:p>
            <w:pPr>
              <w:pStyle w:val="2"/>
              <w:rPr>
                <w:rFonts w:hint="eastAsia" w:eastAsiaTheme="minorEastAsia"/>
                <w:sz w:val="21"/>
                <w:szCs w:val="21"/>
                <w:lang w:eastAsia="zh-CN"/>
              </w:rPr>
            </w:pPr>
          </w:p>
          <w:p>
            <w:pPr>
              <w:pStyle w:val="2"/>
              <w:rPr>
                <w:rFonts w:hint="eastAsia" w:eastAsiaTheme="minorEastAsia"/>
                <w:sz w:val="21"/>
                <w:szCs w:val="21"/>
                <w:lang w:eastAsia="zh-CN"/>
              </w:rPr>
            </w:pPr>
          </w:p>
          <w:p>
            <w:pPr>
              <w:pStyle w:val="2"/>
              <w:rPr>
                <w:rFonts w:hint="eastAsia" w:eastAsiaTheme="minorEastAsia"/>
                <w:sz w:val="21"/>
                <w:szCs w:val="21"/>
                <w:lang w:eastAsia="zh-CN"/>
              </w:rPr>
            </w:pPr>
          </w:p>
          <w:p>
            <w:pPr>
              <w:pStyle w:val="2"/>
              <w:rPr>
                <w:rFonts w:hint="eastAsia" w:eastAsiaTheme="minorEastAsia"/>
                <w:sz w:val="21"/>
                <w:szCs w:val="21"/>
                <w:lang w:eastAsia="zh-CN"/>
              </w:rPr>
            </w:pPr>
          </w:p>
          <w:p>
            <w:pPr>
              <w:pStyle w:val="2"/>
              <w:rPr>
                <w:rFonts w:hint="eastAsia" w:eastAsiaTheme="minorEastAsia"/>
                <w:sz w:val="21"/>
                <w:szCs w:val="21"/>
                <w:lang w:eastAsia="zh-CN"/>
              </w:rPr>
            </w:pPr>
          </w:p>
          <w:p>
            <w:pPr>
              <w:pStyle w:val="2"/>
              <w:rPr>
                <w:rFonts w:hint="eastAsia" w:eastAsiaTheme="minorEastAsia"/>
                <w:sz w:val="21"/>
                <w:szCs w:val="21"/>
                <w:lang w:eastAsia="zh-CN"/>
              </w:rPr>
            </w:pPr>
          </w:p>
          <w:p>
            <w:pPr>
              <w:pStyle w:val="2"/>
              <w:rPr>
                <w:rFonts w:hint="eastAsia" w:eastAsiaTheme="minorEastAsia"/>
                <w:sz w:val="21"/>
                <w:szCs w:val="21"/>
                <w:lang w:eastAsia="zh-CN"/>
              </w:rPr>
            </w:pPr>
          </w:p>
          <w:p>
            <w:pPr>
              <w:pStyle w:val="2"/>
              <w:rPr>
                <w:rFonts w:hint="eastAsia" w:eastAsiaTheme="minorEastAsia"/>
                <w:sz w:val="21"/>
                <w:szCs w:val="21"/>
                <w:lang w:eastAsia="zh-CN"/>
              </w:rPr>
            </w:pPr>
          </w:p>
          <w:p>
            <w:pPr>
              <w:pStyle w:val="2"/>
              <w:rPr>
                <w:rFonts w:hint="eastAsia" w:eastAsiaTheme="minorEastAsia"/>
                <w:sz w:val="21"/>
                <w:szCs w:val="21"/>
                <w:lang w:eastAsia="zh-CN"/>
              </w:rPr>
            </w:pPr>
          </w:p>
          <w:p>
            <w:pPr>
              <w:pStyle w:val="2"/>
              <w:rPr>
                <w:rFonts w:hint="eastAsia" w:eastAsiaTheme="minorEastAsia"/>
                <w:sz w:val="21"/>
                <w:szCs w:val="21"/>
                <w:lang w:eastAsia="zh-CN"/>
              </w:rPr>
            </w:pPr>
          </w:p>
        </w:tc>
        <w:tc>
          <w:tcPr>
            <w:tcW w:w="1585" w:type="dxa"/>
          </w:tcPr>
          <w:p>
            <w:pPr>
              <w:spacing w:line="360" w:lineRule="auto"/>
              <w:rPr>
                <w:rFonts w:eastAsiaTheme="minorEastAsia"/>
                <w:sz w:val="21"/>
                <w:szCs w:val="21"/>
                <w:highlight w:val="yellow"/>
              </w:rPr>
            </w:pPr>
            <w:r>
              <w:rPr>
                <w:rFonts w:hint="eastAsia" w:eastAsia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rPr>
                <w:rFonts w:eastAsiaTheme="minorEastAsia"/>
                <w:sz w:val="21"/>
                <w:szCs w:val="21"/>
              </w:rPr>
            </w:pPr>
            <w:r>
              <w:rPr>
                <w:rFonts w:hAnsiTheme="minorEastAsia" w:eastAsiaTheme="minorEastAsia"/>
                <w:sz w:val="21"/>
                <w:szCs w:val="21"/>
              </w:rPr>
              <w:t>应急准备和响应</w:t>
            </w:r>
          </w:p>
        </w:tc>
        <w:tc>
          <w:tcPr>
            <w:tcW w:w="1276" w:type="dxa"/>
          </w:tcPr>
          <w:p>
            <w:pPr>
              <w:spacing w:line="360" w:lineRule="auto"/>
              <w:rPr>
                <w:rFonts w:eastAsiaTheme="minorEastAsia"/>
                <w:bCs/>
                <w:sz w:val="21"/>
                <w:szCs w:val="21"/>
              </w:rPr>
            </w:pPr>
            <w:r>
              <w:rPr>
                <w:rFonts w:eastAsiaTheme="minorEastAsia"/>
                <w:bCs/>
                <w:sz w:val="21"/>
                <w:szCs w:val="21"/>
              </w:rPr>
              <w:t>E8.2</w:t>
            </w:r>
          </w:p>
          <w:p>
            <w:pPr>
              <w:spacing w:line="360" w:lineRule="auto"/>
              <w:rPr>
                <w:rFonts w:eastAsiaTheme="minorEastAsia"/>
                <w:bCs/>
                <w:sz w:val="21"/>
                <w:szCs w:val="21"/>
              </w:rPr>
            </w:pPr>
            <w:r>
              <w:rPr>
                <w:rFonts w:eastAsiaTheme="minorEastAsia"/>
                <w:sz w:val="21"/>
                <w:szCs w:val="21"/>
              </w:rPr>
              <w:t>O8.2</w:t>
            </w:r>
          </w:p>
          <w:p>
            <w:pPr>
              <w:spacing w:line="360" w:lineRule="auto"/>
              <w:rPr>
                <w:rFonts w:eastAsiaTheme="minorEastAsia"/>
                <w:bCs/>
                <w:sz w:val="21"/>
                <w:szCs w:val="21"/>
              </w:rPr>
            </w:pPr>
          </w:p>
          <w:p>
            <w:pPr>
              <w:spacing w:line="360" w:lineRule="auto"/>
              <w:rPr>
                <w:rFonts w:eastAsiaTheme="minorEastAsia"/>
                <w:bCs/>
                <w:sz w:val="21"/>
                <w:szCs w:val="21"/>
              </w:rPr>
            </w:pPr>
          </w:p>
        </w:tc>
        <w:tc>
          <w:tcPr>
            <w:tcW w:w="10606" w:type="dxa"/>
          </w:tcPr>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编制了《应急准备和响应控制程序》，确定的紧急情况有：火灾、触电等。建立了火灾、触电、疫情防控等应急预案，由行政部组织演练。</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查看了触电应急预案演习记录，演练时间  2020年</w:t>
            </w:r>
            <w:r>
              <w:rPr>
                <w:rFonts w:hint="eastAsia" w:asciiTheme="majorEastAsia" w:hAnsiTheme="majorEastAsia" w:eastAsiaTheme="majorEastAsia" w:cstheme="majorEastAsia"/>
                <w:sz w:val="21"/>
                <w:szCs w:val="21"/>
                <w:lang w:val="en-US" w:eastAsia="zh-CN"/>
              </w:rPr>
              <w:t>11</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日</w:t>
            </w:r>
          </w:p>
          <w:p>
            <w:pPr>
              <w:tabs>
                <w:tab w:val="left" w:pos="6597"/>
              </w:tabs>
              <w:spacing w:line="360" w:lineRule="auto"/>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负责人：</w:t>
            </w:r>
            <w:r>
              <w:rPr>
                <w:rFonts w:hint="eastAsia" w:asciiTheme="majorEastAsia" w:hAnsiTheme="majorEastAsia" w:eastAsiaTheme="majorEastAsia" w:cstheme="majorEastAsia"/>
                <w:sz w:val="21"/>
                <w:szCs w:val="21"/>
                <w:lang w:val="en-US" w:eastAsia="zh-CN"/>
              </w:rPr>
              <w:t>郭华</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参加人：</w:t>
            </w:r>
            <w:r>
              <w:rPr>
                <w:rFonts w:hint="eastAsia" w:asciiTheme="majorEastAsia" w:hAnsiTheme="majorEastAsia" w:eastAsiaTheme="majorEastAsia" w:cstheme="majorEastAsia"/>
                <w:sz w:val="21"/>
                <w:szCs w:val="21"/>
                <w:lang w:val="en-US" w:eastAsia="zh-CN"/>
              </w:rPr>
              <w:t>综合</w:t>
            </w:r>
            <w:r>
              <w:rPr>
                <w:rFonts w:hint="eastAsia" w:asciiTheme="majorEastAsia" w:hAnsiTheme="majorEastAsia" w:eastAsiaTheme="majorEastAsia" w:cstheme="majorEastAsia"/>
                <w:sz w:val="21"/>
                <w:szCs w:val="21"/>
              </w:rPr>
              <w:t>部、生产部、技术部等</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演练的效果</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1、组织指挥有序，项目岗位配合较好，达到了预定目标，演练的效果较好。</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2、人员的速度较快，及时按照预定方案对事故处理人员进行保护。</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3、各参训人员着装整齐，装备佩戴完整，精神饱满。</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4、处理事故得当，速度较快，分工明确，能各负其责</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演练达到了目的。有效。</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查2020.</w:t>
            </w:r>
            <w:r>
              <w:rPr>
                <w:rFonts w:hint="eastAsia" w:asciiTheme="majorEastAsia" w:hAnsiTheme="majorEastAsia" w:eastAsiaTheme="majorEastAsia" w:cstheme="majorEastAsia"/>
                <w:sz w:val="21"/>
                <w:szCs w:val="21"/>
                <w:lang w:val="en-US" w:eastAsia="zh-CN"/>
              </w:rPr>
              <w:t>11</w:t>
            </w: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lang w:val="en-US" w:eastAsia="zh-CN"/>
              </w:rPr>
              <w:t>0</w:t>
            </w:r>
            <w:r>
              <w:rPr>
                <w:rFonts w:hint="eastAsia" w:asciiTheme="majorEastAsia" w:hAnsiTheme="majorEastAsia" w:eastAsiaTheme="majorEastAsia" w:cstheme="majorEastAsia"/>
                <w:sz w:val="21"/>
                <w:szCs w:val="21"/>
              </w:rPr>
              <w:t>日火灾应急预案演习记录，情况同上。</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针对近期出现的新型冠状病毒引发的肺炎疫情，公司制定了疫情防控预案，公司有进行返岗人员健康报备管理、每日人员出入登记/量体温/戴口罩、是否发热、等，严格按政府和预案的要求执行。</w:t>
            </w:r>
          </w:p>
          <w:p>
            <w:pPr>
              <w:tabs>
                <w:tab w:val="left" w:pos="6597"/>
              </w:tabs>
              <w:spacing w:line="360" w:lineRule="auto"/>
              <w:ind w:firstLine="420" w:firstLineChars="200"/>
              <w:rPr>
                <w:rFonts w:eastAsiaTheme="minorEastAsia"/>
                <w:sz w:val="21"/>
                <w:szCs w:val="21"/>
              </w:rPr>
            </w:pPr>
            <w:r>
              <w:rPr>
                <w:rFonts w:hint="eastAsia" w:asciiTheme="majorEastAsia" w:hAnsiTheme="majorEastAsia" w:eastAsiaTheme="majorEastAsia" w:cstheme="majorEastAsia"/>
                <w:sz w:val="21"/>
                <w:szCs w:val="21"/>
              </w:rPr>
              <w:t>自体系运行以来尚未发生紧急情况。</w:t>
            </w:r>
          </w:p>
        </w:tc>
        <w:tc>
          <w:tcPr>
            <w:tcW w:w="1585" w:type="dxa"/>
          </w:tcPr>
          <w:p>
            <w:pPr>
              <w:spacing w:line="360" w:lineRule="auto"/>
              <w:rPr>
                <w:rFonts w:eastAsiaTheme="minorEastAsia"/>
                <w:sz w:val="21"/>
                <w:szCs w:val="21"/>
                <w:highlight w:val="yellow"/>
              </w:rPr>
            </w:pPr>
            <w:r>
              <w:rPr>
                <w:rFonts w:hint="eastAsia" w:eastAsia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2" w:type="dxa"/>
            <w:vAlign w:val="center"/>
          </w:tcPr>
          <w:p>
            <w:pPr>
              <w:spacing w:line="360" w:lineRule="auto"/>
              <w:rPr>
                <w:rFonts w:eastAsiaTheme="minorEastAsia"/>
                <w:sz w:val="21"/>
                <w:szCs w:val="21"/>
              </w:rPr>
            </w:pPr>
            <w:r>
              <w:rPr>
                <w:rFonts w:hAnsiTheme="minorEastAsia" w:eastAsiaTheme="minorEastAsia"/>
                <w:sz w:val="21"/>
                <w:szCs w:val="21"/>
              </w:rPr>
              <w:t>内部审核</w:t>
            </w:r>
          </w:p>
        </w:tc>
        <w:tc>
          <w:tcPr>
            <w:tcW w:w="1276" w:type="dxa"/>
          </w:tcPr>
          <w:p>
            <w:pPr>
              <w:spacing w:line="360" w:lineRule="auto"/>
              <w:rPr>
                <w:rFonts w:eastAsiaTheme="minorEastAsia"/>
                <w:sz w:val="21"/>
                <w:szCs w:val="21"/>
              </w:rPr>
            </w:pPr>
            <w:r>
              <w:rPr>
                <w:rFonts w:eastAsiaTheme="minorEastAsia"/>
                <w:sz w:val="21"/>
                <w:szCs w:val="21"/>
              </w:rPr>
              <w:t>EO9.2</w:t>
            </w:r>
          </w:p>
        </w:tc>
        <w:tc>
          <w:tcPr>
            <w:tcW w:w="10606" w:type="dxa"/>
          </w:tcPr>
          <w:p>
            <w:pPr>
              <w:tabs>
                <w:tab w:val="left" w:pos="6597"/>
              </w:tabs>
              <w:spacing w:line="360" w:lineRule="auto"/>
              <w:ind w:firstLine="420" w:firstLineChars="200"/>
              <w:rPr>
                <w:rFonts w:hAnsiTheme="minorEastAsia" w:eastAsiaTheme="minorEastAsia"/>
                <w:sz w:val="21"/>
                <w:szCs w:val="21"/>
              </w:rPr>
            </w:pPr>
            <w:r>
              <w:rPr>
                <w:rFonts w:hAnsiTheme="minorEastAsia" w:eastAsiaTheme="minorEastAsia"/>
                <w:sz w:val="21"/>
                <w:szCs w:val="21"/>
              </w:rPr>
              <w:t>由组长</w:t>
            </w:r>
            <w:r>
              <w:rPr>
                <w:rFonts w:hint="eastAsia" w:hAnsiTheme="minorEastAsia" w:eastAsiaTheme="minorEastAsia"/>
                <w:sz w:val="21"/>
                <w:szCs w:val="21"/>
                <w:lang w:val="en-US" w:eastAsia="zh-CN"/>
              </w:rPr>
              <w:t>白蕊</w:t>
            </w:r>
            <w:r>
              <w:rPr>
                <w:rFonts w:hAnsiTheme="minorEastAsia" w:eastAsiaTheme="minorEastAsia"/>
                <w:sz w:val="21"/>
                <w:szCs w:val="21"/>
              </w:rPr>
              <w:t>组织内部审核，查年度审核计划：提供《内部审核计划》，其内容已包括了审核目的、范围、依据。</w:t>
            </w:r>
          </w:p>
          <w:p>
            <w:pPr>
              <w:tabs>
                <w:tab w:val="left" w:pos="6597"/>
              </w:tabs>
              <w:spacing w:line="360" w:lineRule="auto"/>
              <w:ind w:firstLine="420" w:firstLineChars="200"/>
              <w:rPr>
                <w:rFonts w:hAnsiTheme="minorEastAsia" w:eastAsiaTheme="minorEastAsia"/>
                <w:sz w:val="21"/>
                <w:szCs w:val="21"/>
              </w:rPr>
            </w:pPr>
            <w:r>
              <w:rPr>
                <w:rFonts w:hAnsiTheme="minorEastAsia" w:eastAsiaTheme="minorEastAsia"/>
                <w:sz w:val="21"/>
                <w:szCs w:val="21"/>
              </w:rPr>
              <w:t>审核组构成：</w:t>
            </w:r>
            <w:r>
              <w:rPr>
                <w:rFonts w:hint="eastAsia" w:asciiTheme="majorEastAsia" w:hAnsiTheme="majorEastAsia" w:eastAsiaTheme="majorEastAsia" w:cstheme="majorEastAsia"/>
                <w:sz w:val="21"/>
                <w:szCs w:val="21"/>
              </w:rPr>
              <w:t>组长：</w:t>
            </w:r>
            <w:r>
              <w:rPr>
                <w:rFonts w:hint="eastAsia" w:asciiTheme="majorEastAsia" w:hAnsiTheme="majorEastAsia" w:eastAsiaTheme="majorEastAsia" w:cstheme="majorEastAsia"/>
                <w:color w:val="000000"/>
                <w:sz w:val="21"/>
                <w:szCs w:val="21"/>
              </w:rPr>
              <w:t>A、</w:t>
            </w:r>
            <w:r>
              <w:rPr>
                <w:rFonts w:hint="eastAsia" w:asciiTheme="majorEastAsia" w:hAnsiTheme="majorEastAsia" w:eastAsiaTheme="majorEastAsia" w:cstheme="majorEastAsia"/>
                <w:sz w:val="21"/>
                <w:szCs w:val="21"/>
              </w:rPr>
              <w:t>白蕊</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sz w:val="21"/>
                <w:szCs w:val="21"/>
              </w:rPr>
              <w:t xml:space="preserve">  组员：</w:t>
            </w:r>
            <w:r>
              <w:rPr>
                <w:rFonts w:hint="eastAsia" w:asciiTheme="majorEastAsia" w:hAnsiTheme="majorEastAsia" w:eastAsiaTheme="majorEastAsia" w:cstheme="majorEastAsia"/>
                <w:color w:val="000000"/>
                <w:sz w:val="21"/>
                <w:szCs w:val="21"/>
              </w:rPr>
              <w:t>B、</w:t>
            </w:r>
            <w:r>
              <w:rPr>
                <w:rFonts w:hint="eastAsia" w:asciiTheme="majorEastAsia" w:hAnsiTheme="majorEastAsia" w:eastAsiaTheme="majorEastAsia" w:cstheme="majorEastAsia"/>
                <w:sz w:val="21"/>
                <w:szCs w:val="21"/>
              </w:rPr>
              <w:t>朱正永；</w:t>
            </w:r>
          </w:p>
          <w:p>
            <w:pPr>
              <w:tabs>
                <w:tab w:val="left" w:pos="6597"/>
              </w:tabs>
              <w:spacing w:line="360" w:lineRule="auto"/>
              <w:ind w:firstLine="420" w:firstLineChars="200"/>
              <w:rPr>
                <w:rFonts w:hAnsiTheme="minorEastAsia" w:eastAsiaTheme="minorEastAsia"/>
                <w:sz w:val="21"/>
                <w:szCs w:val="21"/>
              </w:rPr>
            </w:pPr>
            <w:r>
              <w:rPr>
                <w:rFonts w:hAnsiTheme="minorEastAsia" w:eastAsiaTheme="minorEastAsia"/>
                <w:sz w:val="21"/>
                <w:szCs w:val="21"/>
              </w:rPr>
              <w:t>1. 审核时间2020年</w:t>
            </w:r>
            <w:r>
              <w:rPr>
                <w:rFonts w:hint="eastAsia" w:hAnsiTheme="minorEastAsia" w:eastAsiaTheme="minorEastAsia"/>
                <w:sz w:val="21"/>
                <w:szCs w:val="21"/>
                <w:lang w:val="en-US" w:eastAsia="zh-CN"/>
              </w:rPr>
              <w:t>11</w:t>
            </w:r>
            <w:r>
              <w:rPr>
                <w:rFonts w:hAnsiTheme="minorEastAsia" w:eastAsiaTheme="minorEastAsia"/>
                <w:sz w:val="21"/>
                <w:szCs w:val="21"/>
              </w:rPr>
              <w:t>月</w:t>
            </w:r>
            <w:r>
              <w:rPr>
                <w:rFonts w:hint="eastAsia" w:hAnsiTheme="minorEastAsia" w:eastAsiaTheme="minorEastAsia"/>
                <w:sz w:val="21"/>
                <w:szCs w:val="21"/>
                <w:lang w:val="en-US" w:eastAsia="zh-CN"/>
              </w:rPr>
              <w:t>24</w:t>
            </w:r>
            <w:r>
              <w:rPr>
                <w:rFonts w:hAnsiTheme="minorEastAsia" w:eastAsiaTheme="minorEastAsia"/>
                <w:sz w:val="21"/>
                <w:szCs w:val="21"/>
              </w:rPr>
              <w:t>日，</w:t>
            </w:r>
          </w:p>
          <w:p>
            <w:pPr>
              <w:tabs>
                <w:tab w:val="left" w:pos="6597"/>
              </w:tabs>
              <w:spacing w:line="360" w:lineRule="auto"/>
              <w:ind w:firstLine="420" w:firstLineChars="200"/>
              <w:rPr>
                <w:rFonts w:hAnsiTheme="minorEastAsia" w:eastAsiaTheme="minorEastAsia"/>
                <w:sz w:val="21"/>
                <w:szCs w:val="21"/>
              </w:rPr>
            </w:pPr>
            <w:r>
              <w:rPr>
                <w:rFonts w:hAnsiTheme="minorEastAsia" w:eastAsiaTheme="minorEastAsia"/>
                <w:sz w:val="21"/>
                <w:szCs w:val="21"/>
              </w:rPr>
              <w:t>2.审核按计划进行，抽查检查表</w:t>
            </w:r>
            <w:r>
              <w:rPr>
                <w:rFonts w:hint="eastAsia" w:hAnsiTheme="minorEastAsia" w:eastAsiaTheme="minorEastAsia"/>
                <w:sz w:val="21"/>
                <w:szCs w:val="21"/>
                <w:lang w:val="en-US" w:eastAsia="zh-CN"/>
              </w:rPr>
              <w:t>综合</w:t>
            </w:r>
            <w:r>
              <w:rPr>
                <w:rFonts w:hAnsiTheme="minorEastAsia" w:eastAsiaTheme="minorEastAsia"/>
                <w:sz w:val="21"/>
                <w:szCs w:val="21"/>
              </w:rPr>
              <w:t>部、生产部、</w:t>
            </w:r>
            <w:r>
              <w:rPr>
                <w:rFonts w:hint="eastAsia" w:hAnsiTheme="minorEastAsia" w:eastAsiaTheme="minorEastAsia"/>
                <w:sz w:val="21"/>
                <w:szCs w:val="21"/>
                <w:lang w:val="en-US" w:eastAsia="zh-CN"/>
              </w:rPr>
              <w:t>技术</w:t>
            </w:r>
            <w:r>
              <w:rPr>
                <w:rFonts w:hAnsiTheme="minorEastAsia" w:eastAsiaTheme="minorEastAsia"/>
                <w:sz w:val="21"/>
                <w:szCs w:val="21"/>
              </w:rPr>
              <w:t>部审核记录与计划相一致，内审员经内部培训合格，能力还需加强；</w:t>
            </w:r>
          </w:p>
          <w:p>
            <w:pPr>
              <w:tabs>
                <w:tab w:val="left" w:pos="6597"/>
              </w:tabs>
              <w:spacing w:line="360" w:lineRule="auto"/>
              <w:ind w:firstLine="420" w:firstLineChars="200"/>
              <w:rPr>
                <w:rFonts w:hAnsiTheme="minorEastAsia" w:eastAsiaTheme="minorEastAsia"/>
                <w:sz w:val="21"/>
                <w:szCs w:val="21"/>
              </w:rPr>
            </w:pPr>
            <w:r>
              <w:rPr>
                <w:rFonts w:hAnsiTheme="minorEastAsia" w:eastAsiaTheme="minorEastAsia"/>
                <w:sz w:val="21"/>
                <w:szCs w:val="21"/>
              </w:rPr>
              <w:t>审核计划已考虑到互查的公正性，无审核员审核本部门的工作，计划内容涉及各部门，条款覆盖整个体系。本次内审发现</w:t>
            </w:r>
            <w:r>
              <w:rPr>
                <w:rFonts w:hint="eastAsia" w:hAnsiTheme="minorEastAsia" w:eastAsiaTheme="minorEastAsia"/>
                <w:sz w:val="21"/>
                <w:szCs w:val="21"/>
              </w:rPr>
              <w:t>1</w:t>
            </w:r>
            <w:r>
              <w:rPr>
                <w:rFonts w:hAnsiTheme="minorEastAsia" w:eastAsiaTheme="minorEastAsia"/>
                <w:sz w:val="21"/>
                <w:szCs w:val="21"/>
              </w:rPr>
              <w:t>个一般不符合项（</w:t>
            </w:r>
            <w:r>
              <w:rPr>
                <w:rFonts w:hint="eastAsia" w:ascii="宋体" w:hAnsi="宋体" w:eastAsia="宋体" w:cs="宋体"/>
                <w:sz w:val="21"/>
                <w:szCs w:val="21"/>
                <w:lang w:val="en-US" w:eastAsia="zh-CN"/>
              </w:rPr>
              <w:t>综合部</w:t>
            </w:r>
            <w:r>
              <w:rPr>
                <w:rFonts w:hint="eastAsia" w:ascii="宋体" w:hAnsi="宋体" w:eastAsia="宋体" w:cs="宋体"/>
                <w:sz w:val="21"/>
                <w:szCs w:val="21"/>
              </w:rPr>
              <w:t>有员工安排知识培训证但未登记不符合标准的7.2条款</w:t>
            </w:r>
            <w:r>
              <w:rPr>
                <w:rFonts w:hAnsiTheme="minorEastAsia" w:eastAsiaTheme="minorEastAsia"/>
                <w:sz w:val="21"/>
                <w:szCs w:val="21"/>
              </w:rPr>
              <w:t>），针对不合格，责任部门已分析了原因并采取了纠正措施，按要求进行了整改，最后内审员进行了验证，纠正措施实施有效。</w:t>
            </w:r>
          </w:p>
          <w:p>
            <w:pPr>
              <w:tabs>
                <w:tab w:val="left" w:pos="6597"/>
              </w:tabs>
              <w:spacing w:line="360" w:lineRule="auto"/>
              <w:ind w:firstLine="420" w:firstLineChars="200"/>
              <w:rPr>
                <w:rFonts w:hAnsiTheme="minorEastAsia" w:eastAsiaTheme="minorEastAsia"/>
                <w:sz w:val="21"/>
                <w:szCs w:val="21"/>
              </w:rPr>
            </w:pPr>
            <w:r>
              <w:rPr>
                <w:rFonts w:hAnsiTheme="minorEastAsia" w:eastAsiaTheme="minorEastAsia"/>
                <w:sz w:val="21"/>
                <w:szCs w:val="21"/>
              </w:rPr>
              <w:t>内部审核结论：提供了《内部审核报告》，对现场审核进行了综述，对质量环境安全管理体系进行了符合性的综合评价，最后结论为：</w:t>
            </w:r>
            <w:r>
              <w:rPr>
                <w:rFonts w:hint="eastAsia" w:hAnsiTheme="minorEastAsia" w:eastAsiaTheme="minorEastAsia"/>
                <w:sz w:val="21"/>
                <w:szCs w:val="21"/>
              </w:rPr>
              <w:t>本次内审在各部门的支持和配合下，内审组能够较系统地对公司进行检查，认为公司三体系运行基本良好，运行达到一定的效果，基本符合ISO14001:2015、ISO45001:2018标准的要求，但仍存在不足，各部门应举一反三，对类似问题予以整改。</w:t>
            </w:r>
          </w:p>
          <w:p>
            <w:pPr>
              <w:tabs>
                <w:tab w:val="left" w:pos="6597"/>
              </w:tabs>
              <w:spacing w:line="360" w:lineRule="auto"/>
              <w:ind w:firstLine="420" w:firstLineChars="200"/>
              <w:rPr>
                <w:rFonts w:eastAsiaTheme="minorEastAsia"/>
                <w:sz w:val="21"/>
                <w:szCs w:val="21"/>
                <w:highlight w:val="yellow"/>
              </w:rPr>
            </w:pPr>
            <w:r>
              <w:rPr>
                <w:rFonts w:hint="eastAsia" w:eastAsiaTheme="minorEastAsia"/>
                <w:sz w:val="21"/>
                <w:szCs w:val="21"/>
                <w:lang w:eastAsia="zh-CN"/>
              </w:rPr>
              <w:drawing>
                <wp:inline distT="0" distB="0" distL="114300" distR="114300">
                  <wp:extent cx="2078990" cy="2772410"/>
                  <wp:effectExtent l="0" t="0" r="3810" b="8890"/>
                  <wp:docPr id="6" name="图片 6" descr="4f5a3dee60ee5f21467d0067ef858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f5a3dee60ee5f21467d0067ef8582b"/>
                          <pic:cNvPicPr>
                            <a:picLocks noChangeAspect="1"/>
                          </pic:cNvPicPr>
                        </pic:nvPicPr>
                        <pic:blipFill>
                          <a:blip r:embed="rId12"/>
                          <a:stretch>
                            <a:fillRect/>
                          </a:stretch>
                        </pic:blipFill>
                        <pic:spPr>
                          <a:xfrm>
                            <a:off x="0" y="0"/>
                            <a:ext cx="2078990" cy="2772410"/>
                          </a:xfrm>
                          <a:prstGeom prst="rect">
                            <a:avLst/>
                          </a:prstGeom>
                        </pic:spPr>
                      </pic:pic>
                    </a:graphicData>
                  </a:graphic>
                </wp:inline>
              </w:drawing>
            </w:r>
          </w:p>
        </w:tc>
        <w:tc>
          <w:tcPr>
            <w:tcW w:w="1585" w:type="dxa"/>
          </w:tcPr>
          <w:p>
            <w:pPr>
              <w:spacing w:line="360" w:lineRule="auto"/>
              <w:rPr>
                <w:rFonts w:eastAsiaTheme="minorEastAsia"/>
                <w:sz w:val="21"/>
                <w:szCs w:val="21"/>
                <w:highlight w:val="yellow"/>
              </w:rPr>
            </w:pPr>
            <w:r>
              <w:rPr>
                <w:rFonts w:hint="eastAsia" w:eastAsia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rPr>
                <w:rFonts w:eastAsiaTheme="minorEastAsia"/>
                <w:sz w:val="21"/>
                <w:szCs w:val="21"/>
              </w:rPr>
            </w:pPr>
            <w:r>
              <w:rPr>
                <w:rFonts w:hAnsiTheme="minorEastAsia" w:eastAsiaTheme="minorEastAsia"/>
                <w:sz w:val="21"/>
                <w:szCs w:val="21"/>
              </w:rPr>
              <w:t>不合格和纠正措施</w:t>
            </w:r>
          </w:p>
        </w:tc>
        <w:tc>
          <w:tcPr>
            <w:tcW w:w="1276" w:type="dxa"/>
          </w:tcPr>
          <w:p>
            <w:pPr>
              <w:spacing w:line="360" w:lineRule="auto"/>
              <w:rPr>
                <w:rFonts w:eastAsiaTheme="minorEastAsia"/>
                <w:sz w:val="21"/>
                <w:szCs w:val="21"/>
              </w:rPr>
            </w:pPr>
            <w:r>
              <w:rPr>
                <w:rFonts w:eastAsiaTheme="minorEastAsia"/>
                <w:sz w:val="21"/>
                <w:szCs w:val="21"/>
              </w:rPr>
              <w:t>EO10.2</w:t>
            </w:r>
          </w:p>
          <w:p>
            <w:pPr>
              <w:spacing w:line="360" w:lineRule="auto"/>
              <w:rPr>
                <w:rFonts w:eastAsiaTheme="minorEastAsia"/>
                <w:sz w:val="21"/>
                <w:szCs w:val="21"/>
              </w:rPr>
            </w:pPr>
          </w:p>
        </w:tc>
        <w:tc>
          <w:tcPr>
            <w:tcW w:w="10606" w:type="dxa"/>
          </w:tcPr>
          <w:p>
            <w:pPr>
              <w:spacing w:line="360" w:lineRule="auto"/>
              <w:ind w:firstLine="420" w:firstLineChars="200"/>
              <w:rPr>
                <w:rFonts w:eastAsiaTheme="minorEastAsia"/>
                <w:sz w:val="21"/>
                <w:szCs w:val="21"/>
              </w:rPr>
            </w:pPr>
            <w:r>
              <w:rPr>
                <w:rFonts w:hAnsiTheme="minorEastAsia" w:eastAsiaTheme="minorEastAsia"/>
                <w:sz w:val="21"/>
                <w:szCs w:val="21"/>
              </w:rPr>
              <w:t>保持实施《不符合、纠正和预防措施控制程序》、《事故调查处理控制程序》，对纠正预防措施识别、评审、验证，事故事件报告、调查、处理等作了规定，其内容符合组织实际及标准要求。</w:t>
            </w:r>
          </w:p>
          <w:p>
            <w:pPr>
              <w:spacing w:line="360" w:lineRule="auto"/>
              <w:ind w:firstLine="420" w:firstLineChars="200"/>
              <w:rPr>
                <w:rFonts w:eastAsiaTheme="minorEastAsia"/>
                <w:sz w:val="21"/>
                <w:szCs w:val="21"/>
              </w:rPr>
            </w:pPr>
            <w:r>
              <w:rPr>
                <w:rFonts w:hAnsiTheme="minorEastAsia" w:eastAsiaTheme="minorEastAsia"/>
                <w:sz w:val="21"/>
                <w:szCs w:val="21"/>
              </w:rPr>
              <w:t>对内审中提出不合格项进行了原因分析</w:t>
            </w:r>
            <w:r>
              <w:rPr>
                <w:rFonts w:eastAsiaTheme="minorEastAsia"/>
                <w:sz w:val="21"/>
                <w:szCs w:val="21"/>
              </w:rPr>
              <w:t>,</w:t>
            </w:r>
            <w:r>
              <w:rPr>
                <w:rFonts w:hAnsiTheme="minorEastAsia" w:eastAsiaTheme="minorEastAsia"/>
                <w:sz w:val="21"/>
                <w:szCs w:val="21"/>
              </w:rPr>
              <w:t>并制定、实施了纠正措施，并由内审员对所采取的纠正措施进行了验证，纠正措施有效，管理评审中发现的薄弱环节，分析了原因，采取了纠正措施（参见内审和管理评审审核记录）。</w:t>
            </w:r>
          </w:p>
          <w:p>
            <w:pPr>
              <w:spacing w:line="360" w:lineRule="auto"/>
              <w:ind w:firstLine="420" w:firstLineChars="200"/>
              <w:rPr>
                <w:rFonts w:eastAsiaTheme="minorEastAsia"/>
                <w:sz w:val="21"/>
                <w:szCs w:val="21"/>
              </w:rPr>
            </w:pPr>
            <w:r>
              <w:rPr>
                <w:rFonts w:hAnsiTheme="minorEastAsia" w:eastAsiaTheme="minorEastAsia"/>
                <w:sz w:val="21"/>
                <w:szCs w:val="21"/>
              </w:rPr>
              <w:t>体系运行以来公司按照体系的要求，通过运行控制、加强培训，以及开展管理评审活动等方式采取预防措施，防止不符合</w:t>
            </w:r>
            <w:r>
              <w:rPr>
                <w:rFonts w:eastAsiaTheme="minorEastAsia"/>
                <w:sz w:val="21"/>
                <w:szCs w:val="21"/>
              </w:rPr>
              <w:t>/</w:t>
            </w:r>
            <w:r>
              <w:rPr>
                <w:rFonts w:hAnsiTheme="minorEastAsia" w:eastAsiaTheme="minorEastAsia"/>
                <w:sz w:val="21"/>
                <w:szCs w:val="21"/>
              </w:rPr>
              <w:t>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20" w:firstLineChars="200"/>
              <w:rPr>
                <w:rFonts w:eastAsiaTheme="minorEastAsia"/>
                <w:sz w:val="21"/>
                <w:szCs w:val="21"/>
              </w:rPr>
            </w:pPr>
            <w:r>
              <w:rPr>
                <w:rFonts w:hAnsiTheme="minorEastAsia" w:eastAsiaTheme="minorEastAsia"/>
                <w:sz w:val="21"/>
                <w:szCs w:val="21"/>
              </w:rPr>
              <w:t>企业不合格和纠正措施的管理符合标准规定要求。</w:t>
            </w:r>
          </w:p>
        </w:tc>
        <w:tc>
          <w:tcPr>
            <w:tcW w:w="1585" w:type="dxa"/>
          </w:tcPr>
          <w:p>
            <w:pPr>
              <w:spacing w:line="360" w:lineRule="auto"/>
              <w:rPr>
                <w:rFonts w:eastAsiaTheme="minorEastAsia"/>
                <w:sz w:val="21"/>
                <w:szCs w:val="21"/>
                <w:highlight w:val="yellow"/>
              </w:rPr>
            </w:pPr>
            <w:r>
              <w:rPr>
                <w:rFonts w:hint="eastAsia" w:eastAsiaTheme="minorEastAsia"/>
                <w:sz w:val="21"/>
                <w:szCs w:val="21"/>
                <w:lang w:val="en-US" w:eastAsia="zh-CN"/>
              </w:rPr>
              <w:t>符合</w:t>
            </w:r>
          </w:p>
        </w:tc>
      </w:tr>
    </w:tbl>
    <w:p>
      <w:pPr>
        <w:rPr>
          <w:rFonts w:eastAsiaTheme="minorEastAsia"/>
        </w:rPr>
      </w:pPr>
      <w:r>
        <w:rPr>
          <w:rFonts w:hAnsiTheme="minorEastAsia" w:eastAsiaTheme="minorEastAsia"/>
        </w:rPr>
        <w:t>说明：不符合标注</w:t>
      </w:r>
      <w:r>
        <w:rPr>
          <w:rFonts w:eastAsiaTheme="minorEastAsia"/>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ISC-B-II-31管理体系审核记录表(03版)</w:t>
                </w:r>
              </w:p>
            </w:txbxContent>
          </v:textbox>
        </v:shape>
      </w:pict>
    </w:r>
    <w:r>
      <w:rPr>
        <w:rStyle w:val="16"/>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628"/>
    <w:rsid w:val="00004817"/>
    <w:rsid w:val="00005351"/>
    <w:rsid w:val="00010700"/>
    <w:rsid w:val="00012D7B"/>
    <w:rsid w:val="000146B2"/>
    <w:rsid w:val="00014A12"/>
    <w:rsid w:val="000214B6"/>
    <w:rsid w:val="00023EF2"/>
    <w:rsid w:val="00024498"/>
    <w:rsid w:val="0002531E"/>
    <w:rsid w:val="00025CA9"/>
    <w:rsid w:val="00025CDD"/>
    <w:rsid w:val="000277D0"/>
    <w:rsid w:val="0003138C"/>
    <w:rsid w:val="000313D2"/>
    <w:rsid w:val="0003373A"/>
    <w:rsid w:val="00035EE6"/>
    <w:rsid w:val="00035FB9"/>
    <w:rsid w:val="00037127"/>
    <w:rsid w:val="000412F6"/>
    <w:rsid w:val="000427BC"/>
    <w:rsid w:val="00045B5E"/>
    <w:rsid w:val="0005116E"/>
    <w:rsid w:val="00051655"/>
    <w:rsid w:val="0005199E"/>
    <w:rsid w:val="00052202"/>
    <w:rsid w:val="00053F56"/>
    <w:rsid w:val="0005697E"/>
    <w:rsid w:val="000579CF"/>
    <w:rsid w:val="00060270"/>
    <w:rsid w:val="00060BFF"/>
    <w:rsid w:val="00061038"/>
    <w:rsid w:val="00061F6E"/>
    <w:rsid w:val="000648BE"/>
    <w:rsid w:val="00074F39"/>
    <w:rsid w:val="000802B8"/>
    <w:rsid w:val="000804E6"/>
    <w:rsid w:val="00082216"/>
    <w:rsid w:val="00082398"/>
    <w:rsid w:val="0008375B"/>
    <w:rsid w:val="000849D2"/>
    <w:rsid w:val="00084DAD"/>
    <w:rsid w:val="00085068"/>
    <w:rsid w:val="000870FB"/>
    <w:rsid w:val="00092406"/>
    <w:rsid w:val="00094791"/>
    <w:rsid w:val="00097B23"/>
    <w:rsid w:val="000A067A"/>
    <w:rsid w:val="000A166E"/>
    <w:rsid w:val="000A30F9"/>
    <w:rsid w:val="000A5E44"/>
    <w:rsid w:val="000B1394"/>
    <w:rsid w:val="000B2F9B"/>
    <w:rsid w:val="000B40BD"/>
    <w:rsid w:val="000B69C3"/>
    <w:rsid w:val="000B6EAD"/>
    <w:rsid w:val="000C123B"/>
    <w:rsid w:val="000C23FE"/>
    <w:rsid w:val="000C2D5B"/>
    <w:rsid w:val="000D4F09"/>
    <w:rsid w:val="000D5401"/>
    <w:rsid w:val="000D697A"/>
    <w:rsid w:val="000D7C2E"/>
    <w:rsid w:val="000E2B69"/>
    <w:rsid w:val="000E355F"/>
    <w:rsid w:val="000E4402"/>
    <w:rsid w:val="000E4D8B"/>
    <w:rsid w:val="000E6907"/>
    <w:rsid w:val="000E78E0"/>
    <w:rsid w:val="000E7EF7"/>
    <w:rsid w:val="000F35F1"/>
    <w:rsid w:val="000F7D53"/>
    <w:rsid w:val="000F7DB7"/>
    <w:rsid w:val="001022F1"/>
    <w:rsid w:val="001037D5"/>
    <w:rsid w:val="00105C01"/>
    <w:rsid w:val="001068A0"/>
    <w:rsid w:val="00106F20"/>
    <w:rsid w:val="0011084D"/>
    <w:rsid w:val="00110E50"/>
    <w:rsid w:val="0011531E"/>
    <w:rsid w:val="0012058E"/>
    <w:rsid w:val="00123A35"/>
    <w:rsid w:val="00126D95"/>
    <w:rsid w:val="00132572"/>
    <w:rsid w:val="00135F92"/>
    <w:rsid w:val="001365B4"/>
    <w:rsid w:val="00140DDF"/>
    <w:rsid w:val="00145688"/>
    <w:rsid w:val="001456CB"/>
    <w:rsid w:val="00147EDB"/>
    <w:rsid w:val="00155EE3"/>
    <w:rsid w:val="001602A0"/>
    <w:rsid w:val="001677C1"/>
    <w:rsid w:val="00170B6A"/>
    <w:rsid w:val="001740CF"/>
    <w:rsid w:val="00174C08"/>
    <w:rsid w:val="00176B5D"/>
    <w:rsid w:val="001825AD"/>
    <w:rsid w:val="00185DBE"/>
    <w:rsid w:val="00187C5A"/>
    <w:rsid w:val="001918ED"/>
    <w:rsid w:val="00192A7F"/>
    <w:rsid w:val="00194D96"/>
    <w:rsid w:val="00194E5B"/>
    <w:rsid w:val="00196076"/>
    <w:rsid w:val="001972C0"/>
    <w:rsid w:val="001A19A1"/>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4D5"/>
    <w:rsid w:val="001D1D7C"/>
    <w:rsid w:val="001D4AD8"/>
    <w:rsid w:val="001D54FF"/>
    <w:rsid w:val="001D5787"/>
    <w:rsid w:val="001E1974"/>
    <w:rsid w:val="001E72C1"/>
    <w:rsid w:val="001F032F"/>
    <w:rsid w:val="001F2539"/>
    <w:rsid w:val="001F2A46"/>
    <w:rsid w:val="001F71E8"/>
    <w:rsid w:val="00201F4A"/>
    <w:rsid w:val="00202733"/>
    <w:rsid w:val="00202BC2"/>
    <w:rsid w:val="0021168C"/>
    <w:rsid w:val="00214113"/>
    <w:rsid w:val="00215081"/>
    <w:rsid w:val="002158B6"/>
    <w:rsid w:val="00215C24"/>
    <w:rsid w:val="00222532"/>
    <w:rsid w:val="00223BE5"/>
    <w:rsid w:val="00225941"/>
    <w:rsid w:val="002358ED"/>
    <w:rsid w:val="00235ED5"/>
    <w:rsid w:val="00237445"/>
    <w:rsid w:val="00242311"/>
    <w:rsid w:val="00242A75"/>
    <w:rsid w:val="00245047"/>
    <w:rsid w:val="0024737A"/>
    <w:rsid w:val="00252B36"/>
    <w:rsid w:val="002533AB"/>
    <w:rsid w:val="002555AC"/>
    <w:rsid w:val="00255ADF"/>
    <w:rsid w:val="00263DD5"/>
    <w:rsid w:val="002651A6"/>
    <w:rsid w:val="002715B5"/>
    <w:rsid w:val="00273CE2"/>
    <w:rsid w:val="00274A36"/>
    <w:rsid w:val="002760CB"/>
    <w:rsid w:val="0027659A"/>
    <w:rsid w:val="002769EB"/>
    <w:rsid w:val="00286ECB"/>
    <w:rsid w:val="0029464B"/>
    <w:rsid w:val="00294701"/>
    <w:rsid w:val="002973F0"/>
    <w:rsid w:val="002975C1"/>
    <w:rsid w:val="002977E1"/>
    <w:rsid w:val="002A0E6E"/>
    <w:rsid w:val="002A33CC"/>
    <w:rsid w:val="002B1808"/>
    <w:rsid w:val="002C1ACE"/>
    <w:rsid w:val="002C3E0D"/>
    <w:rsid w:val="002D2873"/>
    <w:rsid w:val="002D41FB"/>
    <w:rsid w:val="002E0587"/>
    <w:rsid w:val="002E1E1D"/>
    <w:rsid w:val="002E6597"/>
    <w:rsid w:val="002F030C"/>
    <w:rsid w:val="002F1DCE"/>
    <w:rsid w:val="002F51CA"/>
    <w:rsid w:val="003002BB"/>
    <w:rsid w:val="003120F5"/>
    <w:rsid w:val="00313F8D"/>
    <w:rsid w:val="00316FF8"/>
    <w:rsid w:val="00317401"/>
    <w:rsid w:val="00317FAF"/>
    <w:rsid w:val="0032112D"/>
    <w:rsid w:val="003222EC"/>
    <w:rsid w:val="00325BFD"/>
    <w:rsid w:val="00326389"/>
    <w:rsid w:val="003264F9"/>
    <w:rsid w:val="00326FC1"/>
    <w:rsid w:val="00327EB6"/>
    <w:rsid w:val="00330DBC"/>
    <w:rsid w:val="00331F15"/>
    <w:rsid w:val="00337922"/>
    <w:rsid w:val="003379A5"/>
    <w:rsid w:val="00340867"/>
    <w:rsid w:val="00341CA5"/>
    <w:rsid w:val="00342857"/>
    <w:rsid w:val="003464C5"/>
    <w:rsid w:val="003504E8"/>
    <w:rsid w:val="003507AC"/>
    <w:rsid w:val="00351CD4"/>
    <w:rsid w:val="003608CB"/>
    <w:rsid w:val="003627B6"/>
    <w:rsid w:val="003675FE"/>
    <w:rsid w:val="003708D5"/>
    <w:rsid w:val="0037587D"/>
    <w:rsid w:val="003800DE"/>
    <w:rsid w:val="0038061A"/>
    <w:rsid w:val="0038063B"/>
    <w:rsid w:val="00380837"/>
    <w:rsid w:val="00382EDD"/>
    <w:rsid w:val="003836CA"/>
    <w:rsid w:val="003848AC"/>
    <w:rsid w:val="00386171"/>
    <w:rsid w:val="00386A98"/>
    <w:rsid w:val="00392D5A"/>
    <w:rsid w:val="00393CC5"/>
    <w:rsid w:val="003940D7"/>
    <w:rsid w:val="003965AB"/>
    <w:rsid w:val="003A1E9C"/>
    <w:rsid w:val="003A3803"/>
    <w:rsid w:val="003A57BB"/>
    <w:rsid w:val="003A5B31"/>
    <w:rsid w:val="003B4391"/>
    <w:rsid w:val="003B4582"/>
    <w:rsid w:val="003B4C0E"/>
    <w:rsid w:val="003B4DB8"/>
    <w:rsid w:val="003B63F4"/>
    <w:rsid w:val="003B686D"/>
    <w:rsid w:val="003B6EB8"/>
    <w:rsid w:val="003C7699"/>
    <w:rsid w:val="003D1723"/>
    <w:rsid w:val="003D3737"/>
    <w:rsid w:val="003D470D"/>
    <w:rsid w:val="003D6BE3"/>
    <w:rsid w:val="003E0907"/>
    <w:rsid w:val="003E0E52"/>
    <w:rsid w:val="003E2C93"/>
    <w:rsid w:val="003E449F"/>
    <w:rsid w:val="003E6467"/>
    <w:rsid w:val="003F20A5"/>
    <w:rsid w:val="003F6B8B"/>
    <w:rsid w:val="00400B96"/>
    <w:rsid w:val="00400C4E"/>
    <w:rsid w:val="00405D5F"/>
    <w:rsid w:val="00410914"/>
    <w:rsid w:val="00415AA3"/>
    <w:rsid w:val="00417D4E"/>
    <w:rsid w:val="00420650"/>
    <w:rsid w:val="00420C60"/>
    <w:rsid w:val="00422BE6"/>
    <w:rsid w:val="00430432"/>
    <w:rsid w:val="00432E49"/>
    <w:rsid w:val="0043352B"/>
    <w:rsid w:val="00433759"/>
    <w:rsid w:val="0043494E"/>
    <w:rsid w:val="00440498"/>
    <w:rsid w:val="004414A5"/>
    <w:rsid w:val="00441B50"/>
    <w:rsid w:val="0044209C"/>
    <w:rsid w:val="004428CE"/>
    <w:rsid w:val="004478E6"/>
    <w:rsid w:val="00450792"/>
    <w:rsid w:val="00456697"/>
    <w:rsid w:val="004606D0"/>
    <w:rsid w:val="00463AD4"/>
    <w:rsid w:val="00463F22"/>
    <w:rsid w:val="00465FE1"/>
    <w:rsid w:val="00466134"/>
    <w:rsid w:val="00475491"/>
    <w:rsid w:val="004869FB"/>
    <w:rsid w:val="00487A71"/>
    <w:rsid w:val="00487DDC"/>
    <w:rsid w:val="00491735"/>
    <w:rsid w:val="00491EEB"/>
    <w:rsid w:val="00493760"/>
    <w:rsid w:val="00494416"/>
    <w:rsid w:val="00494A46"/>
    <w:rsid w:val="00494DE1"/>
    <w:rsid w:val="00495E16"/>
    <w:rsid w:val="00497CEF"/>
    <w:rsid w:val="004A1070"/>
    <w:rsid w:val="004A38FC"/>
    <w:rsid w:val="004A3C73"/>
    <w:rsid w:val="004A4739"/>
    <w:rsid w:val="004A7106"/>
    <w:rsid w:val="004B217F"/>
    <w:rsid w:val="004B3E7F"/>
    <w:rsid w:val="004B57AB"/>
    <w:rsid w:val="004B77C5"/>
    <w:rsid w:val="004C07FE"/>
    <w:rsid w:val="004C107E"/>
    <w:rsid w:val="004C3A73"/>
    <w:rsid w:val="004C5731"/>
    <w:rsid w:val="004C5BFE"/>
    <w:rsid w:val="004C5C5A"/>
    <w:rsid w:val="004C78A9"/>
    <w:rsid w:val="004D3E4C"/>
    <w:rsid w:val="004D55E7"/>
    <w:rsid w:val="004D62EF"/>
    <w:rsid w:val="004D7A97"/>
    <w:rsid w:val="004E2B76"/>
    <w:rsid w:val="004E4FEA"/>
    <w:rsid w:val="004E5609"/>
    <w:rsid w:val="004E612D"/>
    <w:rsid w:val="004E61BC"/>
    <w:rsid w:val="004E63AC"/>
    <w:rsid w:val="004F185D"/>
    <w:rsid w:val="004F750F"/>
    <w:rsid w:val="00500565"/>
    <w:rsid w:val="00502C53"/>
    <w:rsid w:val="005052B3"/>
    <w:rsid w:val="005056ED"/>
    <w:rsid w:val="00505819"/>
    <w:rsid w:val="005064D2"/>
    <w:rsid w:val="00515C94"/>
    <w:rsid w:val="00516644"/>
    <w:rsid w:val="00516693"/>
    <w:rsid w:val="00517E4C"/>
    <w:rsid w:val="00520F6D"/>
    <w:rsid w:val="005213B7"/>
    <w:rsid w:val="00521CF0"/>
    <w:rsid w:val="00523D34"/>
    <w:rsid w:val="0052582F"/>
    <w:rsid w:val="00527341"/>
    <w:rsid w:val="00531909"/>
    <w:rsid w:val="0053208B"/>
    <w:rsid w:val="0053404C"/>
    <w:rsid w:val="00534814"/>
    <w:rsid w:val="00535EB3"/>
    <w:rsid w:val="00536930"/>
    <w:rsid w:val="00541AE2"/>
    <w:rsid w:val="00546D5F"/>
    <w:rsid w:val="00552785"/>
    <w:rsid w:val="00552BDE"/>
    <w:rsid w:val="005571F6"/>
    <w:rsid w:val="005577AD"/>
    <w:rsid w:val="00560A2A"/>
    <w:rsid w:val="005646F7"/>
    <w:rsid w:val="00564E53"/>
    <w:rsid w:val="005652DC"/>
    <w:rsid w:val="005675B7"/>
    <w:rsid w:val="005706CE"/>
    <w:rsid w:val="00570E5F"/>
    <w:rsid w:val="00576C70"/>
    <w:rsid w:val="00580B9E"/>
    <w:rsid w:val="00582740"/>
    <w:rsid w:val="00583277"/>
    <w:rsid w:val="00583CDB"/>
    <w:rsid w:val="00592C3E"/>
    <w:rsid w:val="005978E6"/>
    <w:rsid w:val="005A000F"/>
    <w:rsid w:val="005A25DA"/>
    <w:rsid w:val="005A5268"/>
    <w:rsid w:val="005B173D"/>
    <w:rsid w:val="005B2F7B"/>
    <w:rsid w:val="005B352A"/>
    <w:rsid w:val="005B6888"/>
    <w:rsid w:val="005D1D88"/>
    <w:rsid w:val="005D3677"/>
    <w:rsid w:val="005D59EB"/>
    <w:rsid w:val="005E20E9"/>
    <w:rsid w:val="005E277A"/>
    <w:rsid w:val="005F6C65"/>
    <w:rsid w:val="00600F02"/>
    <w:rsid w:val="00604098"/>
    <w:rsid w:val="0060444D"/>
    <w:rsid w:val="00604DB4"/>
    <w:rsid w:val="00611393"/>
    <w:rsid w:val="00615924"/>
    <w:rsid w:val="00617218"/>
    <w:rsid w:val="006223EE"/>
    <w:rsid w:val="00623B63"/>
    <w:rsid w:val="00623FE4"/>
    <w:rsid w:val="00624222"/>
    <w:rsid w:val="00624F35"/>
    <w:rsid w:val="00627A10"/>
    <w:rsid w:val="00633AC5"/>
    <w:rsid w:val="00637E5C"/>
    <w:rsid w:val="00642776"/>
    <w:rsid w:val="00644FE2"/>
    <w:rsid w:val="00645FB8"/>
    <w:rsid w:val="00651986"/>
    <w:rsid w:val="006545E8"/>
    <w:rsid w:val="006629CC"/>
    <w:rsid w:val="00664736"/>
    <w:rsid w:val="00665980"/>
    <w:rsid w:val="006676DD"/>
    <w:rsid w:val="006727F9"/>
    <w:rsid w:val="0067640C"/>
    <w:rsid w:val="00681DFF"/>
    <w:rsid w:val="006836D9"/>
    <w:rsid w:val="00683914"/>
    <w:rsid w:val="006849AB"/>
    <w:rsid w:val="0068548D"/>
    <w:rsid w:val="00686182"/>
    <w:rsid w:val="00692812"/>
    <w:rsid w:val="00694433"/>
    <w:rsid w:val="006946B4"/>
    <w:rsid w:val="00695256"/>
    <w:rsid w:val="00695570"/>
    <w:rsid w:val="006969F1"/>
    <w:rsid w:val="00696AF1"/>
    <w:rsid w:val="006A102C"/>
    <w:rsid w:val="006A31E8"/>
    <w:rsid w:val="006A3B31"/>
    <w:rsid w:val="006A68F3"/>
    <w:rsid w:val="006A69D4"/>
    <w:rsid w:val="006A6EA3"/>
    <w:rsid w:val="006A7352"/>
    <w:rsid w:val="006B182C"/>
    <w:rsid w:val="006B30C6"/>
    <w:rsid w:val="006B4127"/>
    <w:rsid w:val="006C058B"/>
    <w:rsid w:val="006C24BF"/>
    <w:rsid w:val="006C36AB"/>
    <w:rsid w:val="006C40B9"/>
    <w:rsid w:val="006C4656"/>
    <w:rsid w:val="006C4CFB"/>
    <w:rsid w:val="006C6B02"/>
    <w:rsid w:val="006D06CD"/>
    <w:rsid w:val="006D265F"/>
    <w:rsid w:val="006D2C16"/>
    <w:rsid w:val="006D4DF7"/>
    <w:rsid w:val="006D5BDA"/>
    <w:rsid w:val="006E678B"/>
    <w:rsid w:val="006F2682"/>
    <w:rsid w:val="006F594E"/>
    <w:rsid w:val="0070367F"/>
    <w:rsid w:val="00710655"/>
    <w:rsid w:val="00712F3C"/>
    <w:rsid w:val="00713015"/>
    <w:rsid w:val="007170AA"/>
    <w:rsid w:val="007175F5"/>
    <w:rsid w:val="0072638A"/>
    <w:rsid w:val="00726642"/>
    <w:rsid w:val="007305F5"/>
    <w:rsid w:val="00732B66"/>
    <w:rsid w:val="007378E4"/>
    <w:rsid w:val="00737C8F"/>
    <w:rsid w:val="007406DE"/>
    <w:rsid w:val="00743E79"/>
    <w:rsid w:val="00744BEA"/>
    <w:rsid w:val="00751532"/>
    <w:rsid w:val="00751C37"/>
    <w:rsid w:val="00753CB6"/>
    <w:rsid w:val="00754C46"/>
    <w:rsid w:val="0075769B"/>
    <w:rsid w:val="007618BC"/>
    <w:rsid w:val="00772340"/>
    <w:rsid w:val="00774D00"/>
    <w:rsid w:val="007757F3"/>
    <w:rsid w:val="00780862"/>
    <w:rsid w:val="007815DC"/>
    <w:rsid w:val="007839F5"/>
    <w:rsid w:val="00783C4A"/>
    <w:rsid w:val="00783D09"/>
    <w:rsid w:val="00787C80"/>
    <w:rsid w:val="00790881"/>
    <w:rsid w:val="00790D5E"/>
    <w:rsid w:val="00790E09"/>
    <w:rsid w:val="00790FC6"/>
    <w:rsid w:val="007925FD"/>
    <w:rsid w:val="00794D01"/>
    <w:rsid w:val="00795FA6"/>
    <w:rsid w:val="007A2C5A"/>
    <w:rsid w:val="007A433E"/>
    <w:rsid w:val="007A47FB"/>
    <w:rsid w:val="007A6299"/>
    <w:rsid w:val="007B106B"/>
    <w:rsid w:val="007B275D"/>
    <w:rsid w:val="007C24A1"/>
    <w:rsid w:val="007C2EC8"/>
    <w:rsid w:val="007C403E"/>
    <w:rsid w:val="007C6C73"/>
    <w:rsid w:val="007D5767"/>
    <w:rsid w:val="007E03E9"/>
    <w:rsid w:val="007E31FC"/>
    <w:rsid w:val="007E6AEB"/>
    <w:rsid w:val="007E7C11"/>
    <w:rsid w:val="007F01EC"/>
    <w:rsid w:val="007F0EA0"/>
    <w:rsid w:val="007F1DD4"/>
    <w:rsid w:val="007F3AD5"/>
    <w:rsid w:val="007F6A62"/>
    <w:rsid w:val="007F7DF2"/>
    <w:rsid w:val="00803706"/>
    <w:rsid w:val="0080433F"/>
    <w:rsid w:val="0080780F"/>
    <w:rsid w:val="008079FA"/>
    <w:rsid w:val="00810D58"/>
    <w:rsid w:val="00812C6B"/>
    <w:rsid w:val="008154B0"/>
    <w:rsid w:val="00815AF5"/>
    <w:rsid w:val="008160E3"/>
    <w:rsid w:val="00827CD6"/>
    <w:rsid w:val="008343CB"/>
    <w:rsid w:val="00834F70"/>
    <w:rsid w:val="00835B31"/>
    <w:rsid w:val="008429D0"/>
    <w:rsid w:val="00847396"/>
    <w:rsid w:val="00850591"/>
    <w:rsid w:val="00861584"/>
    <w:rsid w:val="0086249C"/>
    <w:rsid w:val="008638DE"/>
    <w:rsid w:val="00863B20"/>
    <w:rsid w:val="008646DE"/>
    <w:rsid w:val="00864902"/>
    <w:rsid w:val="00864BE7"/>
    <w:rsid w:val="00865200"/>
    <w:rsid w:val="00866142"/>
    <w:rsid w:val="00866A54"/>
    <w:rsid w:val="00866E5B"/>
    <w:rsid w:val="00871695"/>
    <w:rsid w:val="00872888"/>
    <w:rsid w:val="0087521C"/>
    <w:rsid w:val="0088174B"/>
    <w:rsid w:val="00881C64"/>
    <w:rsid w:val="00885631"/>
    <w:rsid w:val="00886006"/>
    <w:rsid w:val="00891C25"/>
    <w:rsid w:val="00894200"/>
    <w:rsid w:val="008973EE"/>
    <w:rsid w:val="008A0DA8"/>
    <w:rsid w:val="008A4AC0"/>
    <w:rsid w:val="008A7C7E"/>
    <w:rsid w:val="008B028C"/>
    <w:rsid w:val="008B21BA"/>
    <w:rsid w:val="008B4EE2"/>
    <w:rsid w:val="008B7990"/>
    <w:rsid w:val="008C0116"/>
    <w:rsid w:val="008C199E"/>
    <w:rsid w:val="008C1CA5"/>
    <w:rsid w:val="008C53BD"/>
    <w:rsid w:val="008C6BF3"/>
    <w:rsid w:val="008D089D"/>
    <w:rsid w:val="008D23FA"/>
    <w:rsid w:val="008E0673"/>
    <w:rsid w:val="008E792C"/>
    <w:rsid w:val="008F0B04"/>
    <w:rsid w:val="008F3781"/>
    <w:rsid w:val="008F6DB9"/>
    <w:rsid w:val="008F7C55"/>
    <w:rsid w:val="00901BAF"/>
    <w:rsid w:val="009035CC"/>
    <w:rsid w:val="0090402A"/>
    <w:rsid w:val="00904554"/>
    <w:rsid w:val="00905C2B"/>
    <w:rsid w:val="00911DF7"/>
    <w:rsid w:val="0091272B"/>
    <w:rsid w:val="009259DC"/>
    <w:rsid w:val="00930694"/>
    <w:rsid w:val="00932193"/>
    <w:rsid w:val="0093517A"/>
    <w:rsid w:val="0093521F"/>
    <w:rsid w:val="0093786C"/>
    <w:rsid w:val="00945677"/>
    <w:rsid w:val="00946F36"/>
    <w:rsid w:val="00947436"/>
    <w:rsid w:val="00951EAA"/>
    <w:rsid w:val="0095344F"/>
    <w:rsid w:val="0095571F"/>
    <w:rsid w:val="00955B84"/>
    <w:rsid w:val="0095689B"/>
    <w:rsid w:val="00962F78"/>
    <w:rsid w:val="0096348A"/>
    <w:rsid w:val="00963A6C"/>
    <w:rsid w:val="00965A0E"/>
    <w:rsid w:val="00965CCD"/>
    <w:rsid w:val="0096609F"/>
    <w:rsid w:val="00967FB4"/>
    <w:rsid w:val="00970842"/>
    <w:rsid w:val="00971600"/>
    <w:rsid w:val="009762EE"/>
    <w:rsid w:val="0098299B"/>
    <w:rsid w:val="00984342"/>
    <w:rsid w:val="009850BE"/>
    <w:rsid w:val="00987901"/>
    <w:rsid w:val="00993632"/>
    <w:rsid w:val="00995C51"/>
    <w:rsid w:val="00996B0D"/>
    <w:rsid w:val="009973B4"/>
    <w:rsid w:val="009A1279"/>
    <w:rsid w:val="009A28E6"/>
    <w:rsid w:val="009A3FB8"/>
    <w:rsid w:val="009A4B5C"/>
    <w:rsid w:val="009A6F79"/>
    <w:rsid w:val="009B16F4"/>
    <w:rsid w:val="009B4D68"/>
    <w:rsid w:val="009B65A4"/>
    <w:rsid w:val="009B6785"/>
    <w:rsid w:val="009B6AB3"/>
    <w:rsid w:val="009B7EB8"/>
    <w:rsid w:val="009C131F"/>
    <w:rsid w:val="009C7750"/>
    <w:rsid w:val="009D1075"/>
    <w:rsid w:val="009D1A3F"/>
    <w:rsid w:val="009D2F66"/>
    <w:rsid w:val="009D57CF"/>
    <w:rsid w:val="009D73FE"/>
    <w:rsid w:val="009E12E7"/>
    <w:rsid w:val="009E2238"/>
    <w:rsid w:val="009E30DA"/>
    <w:rsid w:val="009E3D68"/>
    <w:rsid w:val="009E3FDC"/>
    <w:rsid w:val="009E6193"/>
    <w:rsid w:val="009E7DD1"/>
    <w:rsid w:val="009F3FB8"/>
    <w:rsid w:val="009F630F"/>
    <w:rsid w:val="009F6386"/>
    <w:rsid w:val="009F7BFC"/>
    <w:rsid w:val="009F7EED"/>
    <w:rsid w:val="00A00583"/>
    <w:rsid w:val="00A0721A"/>
    <w:rsid w:val="00A1383B"/>
    <w:rsid w:val="00A138EC"/>
    <w:rsid w:val="00A33BB2"/>
    <w:rsid w:val="00A378F6"/>
    <w:rsid w:val="00A37F6F"/>
    <w:rsid w:val="00A41F32"/>
    <w:rsid w:val="00A47F5F"/>
    <w:rsid w:val="00A50B4B"/>
    <w:rsid w:val="00A51349"/>
    <w:rsid w:val="00A57E86"/>
    <w:rsid w:val="00A61ED7"/>
    <w:rsid w:val="00A64722"/>
    <w:rsid w:val="00A743CD"/>
    <w:rsid w:val="00A7464C"/>
    <w:rsid w:val="00A76CD3"/>
    <w:rsid w:val="00A801DE"/>
    <w:rsid w:val="00A80C1F"/>
    <w:rsid w:val="00A81FD7"/>
    <w:rsid w:val="00A86BDD"/>
    <w:rsid w:val="00A90A22"/>
    <w:rsid w:val="00A93100"/>
    <w:rsid w:val="00A969B9"/>
    <w:rsid w:val="00A96A66"/>
    <w:rsid w:val="00A97734"/>
    <w:rsid w:val="00A97D5C"/>
    <w:rsid w:val="00AA1858"/>
    <w:rsid w:val="00AA2BD6"/>
    <w:rsid w:val="00AA3149"/>
    <w:rsid w:val="00AA5451"/>
    <w:rsid w:val="00AA6131"/>
    <w:rsid w:val="00AA6A45"/>
    <w:rsid w:val="00AA7528"/>
    <w:rsid w:val="00AA7F40"/>
    <w:rsid w:val="00AB41FC"/>
    <w:rsid w:val="00AB7D2F"/>
    <w:rsid w:val="00AC1D8B"/>
    <w:rsid w:val="00AC24B1"/>
    <w:rsid w:val="00AC260E"/>
    <w:rsid w:val="00AC6BF6"/>
    <w:rsid w:val="00AD145D"/>
    <w:rsid w:val="00AD20E6"/>
    <w:rsid w:val="00AD3C63"/>
    <w:rsid w:val="00AD6F34"/>
    <w:rsid w:val="00AD79E2"/>
    <w:rsid w:val="00AE020D"/>
    <w:rsid w:val="00AE0F91"/>
    <w:rsid w:val="00AE14A3"/>
    <w:rsid w:val="00AE63D0"/>
    <w:rsid w:val="00AF0AAB"/>
    <w:rsid w:val="00AF156F"/>
    <w:rsid w:val="00AF47DB"/>
    <w:rsid w:val="00AF616B"/>
    <w:rsid w:val="00B034AD"/>
    <w:rsid w:val="00B0685B"/>
    <w:rsid w:val="00B06873"/>
    <w:rsid w:val="00B06B5B"/>
    <w:rsid w:val="00B0721E"/>
    <w:rsid w:val="00B127C6"/>
    <w:rsid w:val="00B14B87"/>
    <w:rsid w:val="00B22D22"/>
    <w:rsid w:val="00B23030"/>
    <w:rsid w:val="00B237B9"/>
    <w:rsid w:val="00B23CAA"/>
    <w:rsid w:val="00B2489D"/>
    <w:rsid w:val="00B31E41"/>
    <w:rsid w:val="00B37E52"/>
    <w:rsid w:val="00B410EE"/>
    <w:rsid w:val="00B427EC"/>
    <w:rsid w:val="00B526B1"/>
    <w:rsid w:val="00B546C0"/>
    <w:rsid w:val="00B565BF"/>
    <w:rsid w:val="00B570A3"/>
    <w:rsid w:val="00B6210F"/>
    <w:rsid w:val="00B6762E"/>
    <w:rsid w:val="00B71EA0"/>
    <w:rsid w:val="00B729F6"/>
    <w:rsid w:val="00B73843"/>
    <w:rsid w:val="00B73B0E"/>
    <w:rsid w:val="00B73EA8"/>
    <w:rsid w:val="00B8202D"/>
    <w:rsid w:val="00B82639"/>
    <w:rsid w:val="00B91271"/>
    <w:rsid w:val="00B91605"/>
    <w:rsid w:val="00B929FD"/>
    <w:rsid w:val="00B95B99"/>
    <w:rsid w:val="00B95F69"/>
    <w:rsid w:val="00BA435D"/>
    <w:rsid w:val="00BA5B19"/>
    <w:rsid w:val="00BB0434"/>
    <w:rsid w:val="00BC0122"/>
    <w:rsid w:val="00BC2015"/>
    <w:rsid w:val="00BC252C"/>
    <w:rsid w:val="00BC71B0"/>
    <w:rsid w:val="00BD3E2B"/>
    <w:rsid w:val="00BD4E08"/>
    <w:rsid w:val="00BD6DBC"/>
    <w:rsid w:val="00BE00E9"/>
    <w:rsid w:val="00BE512D"/>
    <w:rsid w:val="00BE7AD6"/>
    <w:rsid w:val="00BF597E"/>
    <w:rsid w:val="00C03098"/>
    <w:rsid w:val="00C070E4"/>
    <w:rsid w:val="00C10EF3"/>
    <w:rsid w:val="00C14685"/>
    <w:rsid w:val="00C31C73"/>
    <w:rsid w:val="00C31C8D"/>
    <w:rsid w:val="00C431C9"/>
    <w:rsid w:val="00C513CB"/>
    <w:rsid w:val="00C51A36"/>
    <w:rsid w:val="00C548BE"/>
    <w:rsid w:val="00C55228"/>
    <w:rsid w:val="00C619C1"/>
    <w:rsid w:val="00C62031"/>
    <w:rsid w:val="00C67E19"/>
    <w:rsid w:val="00C67E47"/>
    <w:rsid w:val="00C70C21"/>
    <w:rsid w:val="00C7188F"/>
    <w:rsid w:val="00C71E85"/>
    <w:rsid w:val="00C750BE"/>
    <w:rsid w:val="00C76A3E"/>
    <w:rsid w:val="00C773BA"/>
    <w:rsid w:val="00C80205"/>
    <w:rsid w:val="00C85E49"/>
    <w:rsid w:val="00C86F9B"/>
    <w:rsid w:val="00C87FEE"/>
    <w:rsid w:val="00C90930"/>
    <w:rsid w:val="00C920A9"/>
    <w:rsid w:val="00C93340"/>
    <w:rsid w:val="00C9447D"/>
    <w:rsid w:val="00C958A9"/>
    <w:rsid w:val="00C96CD5"/>
    <w:rsid w:val="00C979C7"/>
    <w:rsid w:val="00CB0154"/>
    <w:rsid w:val="00CB0D49"/>
    <w:rsid w:val="00CB127F"/>
    <w:rsid w:val="00CB1FBC"/>
    <w:rsid w:val="00CB260B"/>
    <w:rsid w:val="00CB3729"/>
    <w:rsid w:val="00CB43FE"/>
    <w:rsid w:val="00CC0969"/>
    <w:rsid w:val="00CC2A01"/>
    <w:rsid w:val="00CC3BF9"/>
    <w:rsid w:val="00CC4D84"/>
    <w:rsid w:val="00CD1DEE"/>
    <w:rsid w:val="00CD394A"/>
    <w:rsid w:val="00CD631B"/>
    <w:rsid w:val="00CD68C2"/>
    <w:rsid w:val="00CD6C83"/>
    <w:rsid w:val="00CD6E0D"/>
    <w:rsid w:val="00CE0AA5"/>
    <w:rsid w:val="00CE2A9E"/>
    <w:rsid w:val="00CE2DBB"/>
    <w:rsid w:val="00CE315A"/>
    <w:rsid w:val="00CE4B8A"/>
    <w:rsid w:val="00CE4BEA"/>
    <w:rsid w:val="00CE7AFF"/>
    <w:rsid w:val="00CE7BE1"/>
    <w:rsid w:val="00CF147A"/>
    <w:rsid w:val="00CF1726"/>
    <w:rsid w:val="00CF5473"/>
    <w:rsid w:val="00CF5724"/>
    <w:rsid w:val="00CF6C5C"/>
    <w:rsid w:val="00CF78F6"/>
    <w:rsid w:val="00D004F0"/>
    <w:rsid w:val="00D0368C"/>
    <w:rsid w:val="00D04E45"/>
    <w:rsid w:val="00D06F59"/>
    <w:rsid w:val="00D071AB"/>
    <w:rsid w:val="00D13453"/>
    <w:rsid w:val="00D274D0"/>
    <w:rsid w:val="00D3392D"/>
    <w:rsid w:val="00D379ED"/>
    <w:rsid w:val="00D37D1B"/>
    <w:rsid w:val="00D41F5E"/>
    <w:rsid w:val="00D4235F"/>
    <w:rsid w:val="00D429D7"/>
    <w:rsid w:val="00D42B0E"/>
    <w:rsid w:val="00D42D53"/>
    <w:rsid w:val="00D548EE"/>
    <w:rsid w:val="00D55E69"/>
    <w:rsid w:val="00D562F6"/>
    <w:rsid w:val="00D74FBF"/>
    <w:rsid w:val="00D75463"/>
    <w:rsid w:val="00D75EFF"/>
    <w:rsid w:val="00D80770"/>
    <w:rsid w:val="00D811D8"/>
    <w:rsid w:val="00D83050"/>
    <w:rsid w:val="00D8388C"/>
    <w:rsid w:val="00D97182"/>
    <w:rsid w:val="00DA0DF0"/>
    <w:rsid w:val="00DA3199"/>
    <w:rsid w:val="00DA657E"/>
    <w:rsid w:val="00DB2382"/>
    <w:rsid w:val="00DB3D4A"/>
    <w:rsid w:val="00DB564A"/>
    <w:rsid w:val="00DB756E"/>
    <w:rsid w:val="00DC2968"/>
    <w:rsid w:val="00DC330A"/>
    <w:rsid w:val="00DC76E5"/>
    <w:rsid w:val="00DD10DC"/>
    <w:rsid w:val="00DD1C8E"/>
    <w:rsid w:val="00DD1D21"/>
    <w:rsid w:val="00DD48B3"/>
    <w:rsid w:val="00DE146D"/>
    <w:rsid w:val="00DE2D80"/>
    <w:rsid w:val="00DE33EC"/>
    <w:rsid w:val="00DE6FCE"/>
    <w:rsid w:val="00DF27ED"/>
    <w:rsid w:val="00DF5335"/>
    <w:rsid w:val="00DF6570"/>
    <w:rsid w:val="00DF76DB"/>
    <w:rsid w:val="00DF7D02"/>
    <w:rsid w:val="00E01EE2"/>
    <w:rsid w:val="00E02CC9"/>
    <w:rsid w:val="00E03405"/>
    <w:rsid w:val="00E038E4"/>
    <w:rsid w:val="00E03E91"/>
    <w:rsid w:val="00E0521C"/>
    <w:rsid w:val="00E07DF8"/>
    <w:rsid w:val="00E11CD7"/>
    <w:rsid w:val="00E13D9A"/>
    <w:rsid w:val="00E14BA9"/>
    <w:rsid w:val="00E2085D"/>
    <w:rsid w:val="00E221C3"/>
    <w:rsid w:val="00E32D13"/>
    <w:rsid w:val="00E34F47"/>
    <w:rsid w:val="00E352EE"/>
    <w:rsid w:val="00E41483"/>
    <w:rsid w:val="00E420B7"/>
    <w:rsid w:val="00E43822"/>
    <w:rsid w:val="00E54035"/>
    <w:rsid w:val="00E54383"/>
    <w:rsid w:val="00E5717A"/>
    <w:rsid w:val="00E62996"/>
    <w:rsid w:val="00E63714"/>
    <w:rsid w:val="00E64A51"/>
    <w:rsid w:val="00E64CB9"/>
    <w:rsid w:val="00E676F9"/>
    <w:rsid w:val="00E7279B"/>
    <w:rsid w:val="00E74608"/>
    <w:rsid w:val="00E8122E"/>
    <w:rsid w:val="00E82AC1"/>
    <w:rsid w:val="00E84C02"/>
    <w:rsid w:val="00E90BBC"/>
    <w:rsid w:val="00E90C62"/>
    <w:rsid w:val="00E910C0"/>
    <w:rsid w:val="00E92810"/>
    <w:rsid w:val="00E95637"/>
    <w:rsid w:val="00E97424"/>
    <w:rsid w:val="00EA04FF"/>
    <w:rsid w:val="00EA55F7"/>
    <w:rsid w:val="00EB0164"/>
    <w:rsid w:val="00EB5DF5"/>
    <w:rsid w:val="00EB65F7"/>
    <w:rsid w:val="00EB7607"/>
    <w:rsid w:val="00EC3DAA"/>
    <w:rsid w:val="00EC3DBA"/>
    <w:rsid w:val="00EC42F5"/>
    <w:rsid w:val="00EC6620"/>
    <w:rsid w:val="00ED0F62"/>
    <w:rsid w:val="00ED123A"/>
    <w:rsid w:val="00ED77D9"/>
    <w:rsid w:val="00ED7F2E"/>
    <w:rsid w:val="00EE52B1"/>
    <w:rsid w:val="00EE5CD9"/>
    <w:rsid w:val="00EE6713"/>
    <w:rsid w:val="00EE71F4"/>
    <w:rsid w:val="00EF29B6"/>
    <w:rsid w:val="00EF36E7"/>
    <w:rsid w:val="00EF5F1D"/>
    <w:rsid w:val="00F02CFC"/>
    <w:rsid w:val="00F05FB7"/>
    <w:rsid w:val="00F06B25"/>
    <w:rsid w:val="00F06D09"/>
    <w:rsid w:val="00F0731D"/>
    <w:rsid w:val="00F07F45"/>
    <w:rsid w:val="00F11201"/>
    <w:rsid w:val="00F115BF"/>
    <w:rsid w:val="00F14D99"/>
    <w:rsid w:val="00F14FBF"/>
    <w:rsid w:val="00F2038C"/>
    <w:rsid w:val="00F21382"/>
    <w:rsid w:val="00F25AFF"/>
    <w:rsid w:val="00F267F2"/>
    <w:rsid w:val="00F31E8A"/>
    <w:rsid w:val="00F32CB9"/>
    <w:rsid w:val="00F33729"/>
    <w:rsid w:val="00F3372A"/>
    <w:rsid w:val="00F35CD7"/>
    <w:rsid w:val="00F361AE"/>
    <w:rsid w:val="00F3666E"/>
    <w:rsid w:val="00F41ED6"/>
    <w:rsid w:val="00F44D4E"/>
    <w:rsid w:val="00F45A29"/>
    <w:rsid w:val="00F46C3F"/>
    <w:rsid w:val="00F47465"/>
    <w:rsid w:val="00F47508"/>
    <w:rsid w:val="00F47878"/>
    <w:rsid w:val="00F52928"/>
    <w:rsid w:val="00F55DB9"/>
    <w:rsid w:val="00F606E1"/>
    <w:rsid w:val="00F60CA3"/>
    <w:rsid w:val="00F62899"/>
    <w:rsid w:val="00F6739D"/>
    <w:rsid w:val="00F75408"/>
    <w:rsid w:val="00F83639"/>
    <w:rsid w:val="00F840C3"/>
    <w:rsid w:val="00F856F5"/>
    <w:rsid w:val="00F8598C"/>
    <w:rsid w:val="00F9060D"/>
    <w:rsid w:val="00F935EB"/>
    <w:rsid w:val="00F956F5"/>
    <w:rsid w:val="00F95A9B"/>
    <w:rsid w:val="00F97087"/>
    <w:rsid w:val="00FA0833"/>
    <w:rsid w:val="00FA2467"/>
    <w:rsid w:val="00FA25E4"/>
    <w:rsid w:val="00FA2988"/>
    <w:rsid w:val="00FA350D"/>
    <w:rsid w:val="00FA665E"/>
    <w:rsid w:val="00FB03C3"/>
    <w:rsid w:val="00FB31C3"/>
    <w:rsid w:val="00FB41F4"/>
    <w:rsid w:val="00FB5A65"/>
    <w:rsid w:val="00FB6C45"/>
    <w:rsid w:val="00FC01AB"/>
    <w:rsid w:val="00FC4F9E"/>
    <w:rsid w:val="00FD23F8"/>
    <w:rsid w:val="00FD2556"/>
    <w:rsid w:val="00FD2869"/>
    <w:rsid w:val="00FD3F5E"/>
    <w:rsid w:val="00FD5EE5"/>
    <w:rsid w:val="00FD72A6"/>
    <w:rsid w:val="00FD759E"/>
    <w:rsid w:val="00FE09C9"/>
    <w:rsid w:val="00FE1887"/>
    <w:rsid w:val="00FE3DB1"/>
    <w:rsid w:val="00FE4EA8"/>
    <w:rsid w:val="108219C2"/>
    <w:rsid w:val="358E533F"/>
    <w:rsid w:val="3DC50B7F"/>
    <w:rsid w:val="4DB459BB"/>
    <w:rsid w:val="5AE24102"/>
    <w:rsid w:val="5EA12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link w:val="20"/>
    <w:unhideWhenUsed/>
    <w:qFormat/>
    <w:uiPriority w:val="99"/>
    <w:pPr>
      <w:spacing w:line="420" w:lineRule="exact"/>
    </w:pPr>
    <w:rPr>
      <w:sz w:val="24"/>
    </w:rPr>
  </w:style>
  <w:style w:type="paragraph" w:styleId="6">
    <w:name w:val="Plain Text"/>
    <w:basedOn w:val="1"/>
    <w:link w:val="22"/>
    <w:qFormat/>
    <w:uiPriority w:val="0"/>
    <w:rPr>
      <w:rFonts w:ascii="宋体" w:hAnsi="Courier New"/>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Title"/>
    <w:basedOn w:val="1"/>
    <w:link w:val="23"/>
    <w:qFormat/>
    <w:uiPriority w:val="0"/>
    <w:pPr>
      <w:widowControl/>
      <w:jc w:val="center"/>
    </w:pPr>
    <w:rPr>
      <w:rFonts w:ascii="Book Antiqua" w:hAnsi="Book Antiqua"/>
      <w:b/>
      <w:kern w:val="0"/>
      <w:sz w:val="31"/>
      <w:szCs w:val="31"/>
      <w:u w:val="single"/>
      <w:lang w:eastAsia="en-US"/>
    </w:rPr>
  </w:style>
  <w:style w:type="table" w:styleId="11">
    <w:name w:val="Table Grid"/>
    <w:basedOn w:val="1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2"/>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2"/>
    <w:uiPriority w:val="0"/>
    <w:rPr>
      <w:rFonts w:hint="eastAsia" w:ascii="宋体" w:hAnsi="宋体" w:eastAsia="宋体"/>
      <w:color w:val="000000"/>
      <w:sz w:val="24"/>
      <w:szCs w:val="24"/>
    </w:rPr>
  </w:style>
  <w:style w:type="character" w:customStyle="1" w:styleId="18">
    <w:name w:val="fontstyle21"/>
    <w:basedOn w:val="12"/>
    <w:uiPriority w:val="0"/>
    <w:rPr>
      <w:rFonts w:hint="default" w:ascii="Times New Roman" w:hAnsi="Times New Roman" w:cs="Times New Roman"/>
      <w:color w:val="000000"/>
      <w:sz w:val="24"/>
      <w:szCs w:val="24"/>
    </w:rPr>
  </w:style>
  <w:style w:type="character" w:customStyle="1" w:styleId="19">
    <w:name w:val="标题 2 Char"/>
    <w:basedOn w:val="12"/>
    <w:link w:val="3"/>
    <w:uiPriority w:val="9"/>
    <w:rPr>
      <w:rFonts w:asciiTheme="majorHAnsi" w:hAnsiTheme="majorHAnsi" w:eastAsiaTheme="majorEastAsia" w:cstheme="majorBidi"/>
      <w:b/>
      <w:bCs/>
      <w:kern w:val="2"/>
      <w:sz w:val="32"/>
      <w:szCs w:val="32"/>
    </w:rPr>
  </w:style>
  <w:style w:type="character" w:customStyle="1" w:styleId="20">
    <w:name w:val="正文文本 Char"/>
    <w:basedOn w:val="12"/>
    <w:link w:val="5"/>
    <w:uiPriority w:val="99"/>
    <w:rPr>
      <w:rFonts w:ascii="Times New Roman" w:hAnsi="Times New Roman" w:eastAsia="宋体" w:cs="Times New Roman"/>
      <w:kern w:val="2"/>
      <w:sz w:val="24"/>
    </w:rPr>
  </w:style>
  <w:style w:type="paragraph" w:customStyle="1" w:styleId="21">
    <w:name w:val="表格文字"/>
    <w:basedOn w:val="1"/>
    <w:qFormat/>
    <w:uiPriority w:val="0"/>
    <w:pPr>
      <w:spacing w:before="25" w:after="25"/>
    </w:pPr>
    <w:rPr>
      <w:bCs/>
      <w:spacing w:val="10"/>
    </w:rPr>
  </w:style>
  <w:style w:type="character" w:customStyle="1" w:styleId="22">
    <w:name w:val="纯文本 Char"/>
    <w:basedOn w:val="12"/>
    <w:link w:val="6"/>
    <w:qFormat/>
    <w:uiPriority w:val="0"/>
    <w:rPr>
      <w:rFonts w:ascii="宋体" w:hAnsi="Courier New" w:eastAsia="宋体" w:cs="Times New Roman"/>
      <w:kern w:val="2"/>
      <w:sz w:val="21"/>
    </w:rPr>
  </w:style>
  <w:style w:type="character" w:customStyle="1" w:styleId="23">
    <w:name w:val="标题 Char"/>
    <w:basedOn w:val="12"/>
    <w:link w:val="9"/>
    <w:uiPriority w:val="0"/>
    <w:rPr>
      <w:rFonts w:ascii="Book Antiqua" w:hAnsi="Book Antiqua" w:eastAsia="宋体" w:cs="Times New Roman"/>
      <w:b/>
      <w:sz w:val="31"/>
      <w:szCs w:val="31"/>
      <w:u w:val="single"/>
      <w:lang w:eastAsia="en-US"/>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76D2A-FD51-4CC5-9C13-2B0F9431DA64}">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1354</Words>
  <Characters>7718</Characters>
  <Lines>64</Lines>
  <Paragraphs>18</Paragraphs>
  <TotalTime>4</TotalTime>
  <ScaleCrop>false</ScaleCrop>
  <LinksUpToDate>false</LinksUpToDate>
  <CharactersWithSpaces>9054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2021-03-16T16:56:26Z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