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41"/>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bookmarkStart w:id="0" w:name="_GoBack"/>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41" w:type="dxa"/>
            <w:vAlign w:val="center"/>
          </w:tcPr>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受审核部门：</w:t>
            </w:r>
            <w:r>
              <w:rPr>
                <w:rFonts w:hint="eastAsia" w:ascii="Times New Roman" w:hAnsi="Times New Roman" w:eastAsia="宋体" w:cs="Times New Roman"/>
                <w:sz w:val="24"/>
                <w:szCs w:val="24"/>
                <w:lang w:val="en-US" w:eastAsia="zh-CN"/>
              </w:rPr>
              <w:t xml:space="preserve">财务管理部            </w:t>
            </w:r>
            <w:r>
              <w:rPr>
                <w:rFonts w:hint="eastAsia" w:ascii="Times New Roman" w:hAnsi="Times New Roman" w:eastAsia="宋体" w:cs="Times New Roman"/>
                <w:sz w:val="24"/>
                <w:szCs w:val="24"/>
              </w:rPr>
              <w:t>主管领导：</w:t>
            </w:r>
            <w:r>
              <w:rPr>
                <w:rFonts w:hint="eastAsia" w:ascii="Times New Roman" w:hAnsi="Times New Roman" w:eastAsia="宋体" w:cs="Times New Roman"/>
                <w:sz w:val="24"/>
                <w:szCs w:val="24"/>
                <w:lang w:val="en-US" w:eastAsia="zh-CN"/>
              </w:rPr>
              <w:t xml:space="preserve">张明玲         </w:t>
            </w:r>
            <w:r>
              <w:rPr>
                <w:rFonts w:hint="eastAsia" w:ascii="Times New Roman" w:hAnsi="Times New Roman" w:eastAsia="宋体" w:cs="Times New Roman"/>
                <w:sz w:val="24"/>
                <w:szCs w:val="24"/>
              </w:rPr>
              <w:t>陪同人员：</w:t>
            </w:r>
            <w:r>
              <w:rPr>
                <w:rFonts w:hint="eastAsia" w:ascii="Times New Roman" w:hAnsi="Times New Roman" w:eastAsia="宋体" w:cs="Times New Roman"/>
                <w:sz w:val="24"/>
                <w:szCs w:val="24"/>
                <w:lang w:val="en-US" w:eastAsia="zh-CN"/>
              </w:rPr>
              <w:t>廖园园</w:t>
            </w:r>
          </w:p>
        </w:tc>
        <w:tc>
          <w:tcPr>
            <w:tcW w:w="84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41" w:type="dxa"/>
            <w:vAlign w:val="center"/>
          </w:tcPr>
          <w:p>
            <w:pPr>
              <w:jc w:val="left"/>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审核员：    姜小清  </w:t>
            </w:r>
            <w:r>
              <w:rPr>
                <w:rFonts w:hint="eastAsia" w:ascii="宋体" w:hAnsi="宋体" w:eastAsia="宋体" w:cs="宋体"/>
                <w:b w:val="0"/>
                <w:bCs w:val="0"/>
                <w:color w:val="auto"/>
                <w:sz w:val="24"/>
                <w:szCs w:val="24"/>
                <w:u w:val="single"/>
                <w:lang w:val="en-US" w:eastAsia="zh-CN"/>
              </w:rPr>
              <w:t>安涛</w:t>
            </w:r>
            <w:r>
              <w:rPr>
                <w:rFonts w:hint="eastAsia" w:ascii="宋体" w:hAnsi="宋体" w:eastAsia="宋体" w:cs="宋体"/>
                <w:b w:val="0"/>
                <w:bCs w:val="0"/>
                <w:color w:val="auto"/>
                <w:sz w:val="24"/>
                <w:szCs w:val="24"/>
                <w:lang w:val="en-US" w:eastAsia="zh-CN"/>
              </w:rPr>
              <w:t xml:space="preserve"> </w:t>
            </w:r>
            <w:r>
              <w:rPr>
                <w:rFonts w:hint="eastAsia" w:ascii="宋体" w:hAnsi="宋体" w:cs="宋体"/>
                <w:b w:val="0"/>
                <w:bCs w:val="0"/>
                <w:color w:val="auto"/>
                <w:sz w:val="24"/>
                <w:szCs w:val="24"/>
                <w:lang w:val="en-US" w:eastAsia="zh-CN"/>
              </w:rPr>
              <w:t>（Q）</w:t>
            </w:r>
            <w:r>
              <w:rPr>
                <w:rFonts w:hint="eastAsia" w:ascii="宋体" w:hAnsi="宋体" w:eastAsia="宋体" w:cs="宋体"/>
                <w:b w:val="0"/>
                <w:bCs w:val="0"/>
                <w:color w:val="auto"/>
                <w:sz w:val="24"/>
                <w:szCs w:val="24"/>
                <w:lang w:val="en-US" w:eastAsia="zh-CN"/>
              </w:rPr>
              <w:t xml:space="preserve">         审核时间：2021.3.22</w:t>
            </w:r>
          </w:p>
        </w:tc>
        <w:tc>
          <w:tcPr>
            <w:tcW w:w="84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tc>
        <w:tc>
          <w:tcPr>
            <w:tcW w:w="960" w:type="dxa"/>
            <w:vMerge w:val="continue"/>
            <w:vAlign w:val="center"/>
          </w:tcPr>
          <w:p/>
        </w:tc>
        <w:tc>
          <w:tcPr>
            <w:tcW w:w="10741" w:type="dxa"/>
            <w:vAlign w:val="center"/>
          </w:tcPr>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审核条款：</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Q：</w:t>
            </w:r>
            <w:r>
              <w:rPr>
                <w:rFonts w:hint="eastAsia" w:ascii="宋体" w:hAnsi="宋体" w:eastAsia="宋体" w:cs="宋体"/>
                <w:b w:val="0"/>
                <w:bCs w:val="0"/>
                <w:color w:val="auto"/>
                <w:sz w:val="24"/>
                <w:szCs w:val="24"/>
                <w:u w:val="single"/>
                <w:lang w:val="en-US" w:eastAsia="zh-CN"/>
              </w:rPr>
              <w:t>5.3/6.2</w:t>
            </w:r>
            <w:r>
              <w:rPr>
                <w:rFonts w:hint="eastAsia" w:ascii="宋体" w:hAnsi="宋体" w:eastAsia="宋体" w:cs="宋体"/>
                <w:b w:val="0"/>
                <w:bCs w:val="0"/>
                <w:color w:val="auto"/>
                <w:sz w:val="24"/>
                <w:szCs w:val="24"/>
                <w:lang w:val="en-US" w:eastAsia="zh-CN"/>
              </w:rPr>
              <w:t>/</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E：5.3/6.2/6.1.2/8.1</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S：5.3/6.2/6.1.2/8.1</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En：5.3/6.2/7.4/8.1</w:t>
            </w:r>
          </w:p>
        </w:tc>
        <w:tc>
          <w:tcPr>
            <w:tcW w:w="84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trPr>
        <w:tc>
          <w:tcPr>
            <w:tcW w:w="2160"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组织的岗位、职责和权限</w:t>
            </w:r>
          </w:p>
          <w:p>
            <w:pPr>
              <w:rPr>
                <w:rFonts w:hint="eastAsia" w:ascii="宋体" w:hAnsi="宋体" w:eastAsia="宋体" w:cs="宋体"/>
                <w:sz w:val="24"/>
                <w:szCs w:val="24"/>
                <w:lang w:val="en-US" w:eastAsia="zh-CN"/>
              </w:rPr>
            </w:pPr>
            <w:r>
              <w:rPr>
                <w:rFonts w:hint="eastAsia" w:ascii="宋体" w:hAnsi="宋体" w:cs="宋体"/>
                <w:sz w:val="24"/>
                <w:szCs w:val="24"/>
                <w:u w:val="single"/>
                <w:lang w:val="en-US" w:eastAsia="zh-CN"/>
              </w:rPr>
              <w:t>（姜小清、安涛审核）</w:t>
            </w:r>
          </w:p>
        </w:tc>
        <w:tc>
          <w:tcPr>
            <w:tcW w:w="960" w:type="dxa"/>
          </w:tcPr>
          <w:p>
            <w:pPr>
              <w:jc w:val="left"/>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QESEn</w:t>
            </w:r>
          </w:p>
          <w:p>
            <w:pPr>
              <w:jc w:val="left"/>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5.3</w:t>
            </w:r>
          </w:p>
        </w:tc>
        <w:tc>
          <w:tcPr>
            <w:tcW w:w="10741" w:type="dxa"/>
          </w:tcPr>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能源</w:t>
            </w:r>
            <w:r>
              <w:rPr>
                <w:rFonts w:hint="eastAsia" w:ascii="宋体" w:hAnsi="宋体" w:eastAsia="宋体" w:cs="宋体"/>
                <w:b w:val="0"/>
                <w:bCs w:val="0"/>
                <w:color w:val="auto"/>
                <w:sz w:val="24"/>
                <w:szCs w:val="24"/>
                <w:u w:val="single"/>
                <w:lang w:val="en-US" w:eastAsia="zh-CN"/>
              </w:rPr>
              <w:t>岗位人员和</w:t>
            </w:r>
            <w:r>
              <w:rPr>
                <w:rFonts w:hint="eastAsia" w:ascii="宋体" w:hAnsi="宋体" w:eastAsia="宋体" w:cs="宋体"/>
                <w:b w:val="0"/>
                <w:bCs w:val="0"/>
                <w:color w:val="auto"/>
                <w:sz w:val="24"/>
                <w:szCs w:val="24"/>
                <w:lang w:val="en-US" w:eastAsia="zh-CN"/>
              </w:rPr>
              <w:t>岗位设置：</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部门13 人、包括管理岗、财务出纳等；</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主</w:t>
            </w:r>
            <w:r>
              <w:rPr>
                <w:rFonts w:hint="eastAsia" w:ascii="宋体" w:hAnsi="宋体" w:eastAsia="宋体" w:cs="宋体"/>
                <w:b w:val="0"/>
                <w:bCs w:val="0"/>
                <w:color w:val="auto"/>
                <w:sz w:val="24"/>
                <w:szCs w:val="24"/>
                <w:u w:val="single"/>
                <w:lang w:val="en-US" w:eastAsia="zh-CN"/>
              </w:rPr>
              <w:t>要工作内容和职责</w:t>
            </w:r>
            <w:r>
              <w:rPr>
                <w:rFonts w:hint="eastAsia" w:ascii="宋体" w:hAnsi="宋体" w:eastAsia="宋体" w:cs="宋体"/>
                <w:b w:val="0"/>
                <w:bCs w:val="0"/>
                <w:color w:val="auto"/>
                <w:sz w:val="24"/>
                <w:szCs w:val="24"/>
                <w:lang w:val="en-US" w:eastAsia="zh-CN"/>
              </w:rPr>
              <w:t>权限：</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负责本公司会计核算，实行会计监督，并充分发挥会计机构的核算职能、监督职能、规划职能、控制职能、调节职能和评价职能的作用。及时、准确编制财务会计报告，按规定报送股份公司。</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按股份公司下达目标完成预算编制、控制、考核及分析。监督各部门及直属单位降低消耗、节约费用，更好地运用企业资产和资源，努力提高企业的盈利能力。负责能源绩效方面所涉及的技术投入费用的提取和支出；协助其他部门作好管理体系相关工作。有效控制本部门能源消耗。</w:t>
            </w:r>
          </w:p>
        </w:tc>
        <w:tc>
          <w:tcPr>
            <w:tcW w:w="848" w:type="dxa"/>
          </w:tcPr>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2160" w:type="dxa"/>
          </w:tcPr>
          <w:p>
            <w:pPr>
              <w:rPr>
                <w:rFonts w:hint="default" w:ascii="宋体" w:hAnsi="宋体" w:eastAsia="宋体" w:cs="宋体"/>
                <w:sz w:val="24"/>
                <w:szCs w:val="24"/>
                <w:u w:val="single"/>
                <w:lang w:val="en-US" w:eastAsia="zh-CN"/>
              </w:rPr>
            </w:pPr>
            <w:r>
              <w:rPr>
                <w:rFonts w:hint="eastAsia" w:ascii="宋体" w:hAnsi="宋体" w:cs="宋体"/>
                <w:sz w:val="24"/>
                <w:szCs w:val="24"/>
                <w:lang w:val="en-US" w:eastAsia="zh-CN"/>
              </w:rPr>
              <w:t>质量目标</w:t>
            </w:r>
            <w:r>
              <w:rPr>
                <w:rFonts w:hint="eastAsia" w:ascii="宋体" w:hAnsi="宋体" w:cs="宋体"/>
                <w:sz w:val="24"/>
                <w:szCs w:val="24"/>
                <w:u w:val="single"/>
                <w:lang w:val="en-US" w:eastAsia="zh-CN"/>
              </w:rPr>
              <w:t>（安涛审核）</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目标，能源指标及其实现的策划</w:t>
            </w: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运行策划控制</w:t>
            </w:r>
          </w:p>
        </w:tc>
        <w:tc>
          <w:tcPr>
            <w:tcW w:w="960" w:type="dxa"/>
          </w:tcPr>
          <w:p>
            <w:pPr>
              <w:rPr>
                <w:rFonts w:hint="default" w:ascii="宋体" w:hAnsi="宋体" w:eastAsia="宋体" w:cs="宋体"/>
                <w:sz w:val="24"/>
                <w:szCs w:val="24"/>
                <w:lang w:val="en-US" w:eastAsia="zh-CN"/>
              </w:rPr>
            </w:pPr>
            <w:r>
              <w:rPr>
                <w:rFonts w:hint="eastAsia" w:ascii="宋体" w:hAnsi="宋体" w:cs="宋体"/>
                <w:sz w:val="24"/>
                <w:szCs w:val="24"/>
                <w:lang w:val="en-US" w:eastAsia="zh-CN"/>
              </w:rPr>
              <w:t>QESEn</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6.2 </w:t>
            </w:r>
          </w:p>
          <w:p>
            <w:pPr>
              <w:rPr>
                <w:rFonts w:hint="eastAsia"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8.1</w:t>
            </w:r>
          </w:p>
        </w:tc>
        <w:tc>
          <w:tcPr>
            <w:tcW w:w="10741" w:type="dxa"/>
          </w:tcPr>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质</w:t>
            </w:r>
            <w:r>
              <w:rPr>
                <w:rFonts w:hint="eastAsia" w:ascii="宋体" w:hAnsi="宋体" w:eastAsia="宋体" w:cs="宋体"/>
                <w:b w:val="0"/>
                <w:bCs w:val="0"/>
                <w:color w:val="auto"/>
                <w:sz w:val="24"/>
                <w:szCs w:val="24"/>
                <w:u w:val="single"/>
                <w:lang w:val="en-US" w:eastAsia="zh-CN"/>
              </w:rPr>
              <w:t>量目标：</w:t>
            </w:r>
            <w:r>
              <w:rPr>
                <w:rFonts w:hint="eastAsia" w:ascii="宋体" w:hAnsi="宋体" w:eastAsia="宋体" w:cs="宋体"/>
                <w:b w:val="0"/>
                <w:bCs w:val="0"/>
                <w:color w:val="auto"/>
                <w:sz w:val="24"/>
                <w:szCs w:val="24"/>
                <w:lang w:val="en-US" w:eastAsia="zh-CN"/>
              </w:rPr>
              <w:t>业务账目合格率100%；</w:t>
            </w:r>
          </w:p>
          <w:p>
            <w:pPr>
              <w:jc w:val="left"/>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u w:val="single"/>
                <w:lang w:val="en-US" w:eastAsia="zh-CN"/>
              </w:rPr>
              <w:t>环境安全目标指</w:t>
            </w:r>
            <w:r>
              <w:rPr>
                <w:rFonts w:hint="eastAsia" w:ascii="宋体" w:hAnsi="宋体" w:eastAsia="宋体" w:cs="宋体"/>
                <w:b w:val="0"/>
                <w:bCs w:val="0"/>
                <w:color w:val="auto"/>
                <w:sz w:val="24"/>
                <w:szCs w:val="24"/>
                <w:lang w:val="en-US" w:eastAsia="zh-CN"/>
              </w:rPr>
              <w:t>标：</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1、环境、职业健康安全资金保障率100%</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2、固体废弃物100%合理分类处理；</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3、工伤事故为零</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执行公</w:t>
            </w:r>
            <w:r>
              <w:rPr>
                <w:rFonts w:hint="eastAsia" w:ascii="宋体" w:hAnsi="宋体" w:eastAsia="宋体" w:cs="宋体"/>
                <w:b w:val="0"/>
                <w:bCs w:val="0"/>
                <w:color w:val="auto"/>
                <w:sz w:val="24"/>
                <w:szCs w:val="24"/>
                <w:u w:val="single"/>
                <w:lang w:val="en-US" w:eastAsia="zh-CN"/>
              </w:rPr>
              <w:t>司统一的能源目标</w:t>
            </w:r>
            <w:r>
              <w:rPr>
                <w:rFonts w:hint="eastAsia" w:ascii="宋体" w:hAnsi="宋体" w:eastAsia="宋体" w:cs="宋体"/>
                <w:b w:val="0"/>
                <w:bCs w:val="0"/>
                <w:color w:val="auto"/>
                <w:sz w:val="24"/>
                <w:szCs w:val="24"/>
                <w:lang w:val="en-US" w:eastAsia="zh-CN"/>
              </w:rPr>
              <w:t>指标；</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本部门没有制定“特定”的能源方案（非主责部门）。</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编制了“能源管理制度”、“办公室能源管理规定”等、日常工作中注意节水节电、防止跑冒滴漏、人员经过能源体系培训、对出现的不符合及时纠正、不断完善公司的节能制度等；</w:t>
            </w:r>
          </w:p>
          <w:p>
            <w:pPr>
              <w:jc w:val="left"/>
              <w:rPr>
                <w:rFonts w:hint="eastAsia" w:ascii="宋体" w:hAnsi="宋体" w:eastAsia="宋体" w:cs="宋体"/>
                <w:b w:val="0"/>
                <w:bCs w:val="0"/>
                <w:color w:val="auto"/>
                <w:sz w:val="24"/>
                <w:szCs w:val="24"/>
                <w:lang w:val="en-US" w:eastAsia="zh-CN"/>
              </w:rPr>
            </w:pPr>
          </w:p>
          <w:p>
            <w:pPr>
              <w:jc w:val="left"/>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——查2020年度环保安全及能源支出：</w:t>
            </w:r>
          </w:p>
          <w:tbl>
            <w:tblPr>
              <w:tblStyle w:val="6"/>
              <w:tblW w:w="9142" w:type="dxa"/>
              <w:tblInd w:w="-20" w:type="dxa"/>
              <w:shd w:val="clear" w:color="auto" w:fill="auto"/>
              <w:tblLayout w:type="fixed"/>
              <w:tblCellMar>
                <w:top w:w="0" w:type="dxa"/>
                <w:left w:w="0" w:type="dxa"/>
                <w:bottom w:w="0" w:type="dxa"/>
                <w:right w:w="0" w:type="dxa"/>
              </w:tblCellMar>
            </w:tblPr>
            <w:tblGrid>
              <w:gridCol w:w="1160"/>
              <w:gridCol w:w="4560"/>
              <w:gridCol w:w="3422"/>
            </w:tblGrid>
            <w:tr>
              <w:tblPrEx>
                <w:tblCellMar>
                  <w:top w:w="0" w:type="dxa"/>
                  <w:left w:w="0" w:type="dxa"/>
                  <w:bottom w:w="0" w:type="dxa"/>
                  <w:right w:w="0" w:type="dxa"/>
                </w:tblCellMar>
              </w:tblPrEx>
              <w:trPr>
                <w:trHeight w:val="27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金额（元）</w:t>
                  </w:r>
                </w:p>
              </w:tc>
            </w:tr>
            <w:tr>
              <w:tblPrEx>
                <w:shd w:val="clear" w:color="auto" w:fill="auto"/>
                <w:tblCellMar>
                  <w:top w:w="0" w:type="dxa"/>
                  <w:left w:w="0" w:type="dxa"/>
                  <w:bottom w:w="0" w:type="dxa"/>
                  <w:right w:w="0" w:type="dxa"/>
                </w:tblCellMar>
              </w:tblPrEx>
              <w:trPr>
                <w:trHeight w:val="27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安全环保投入</w:t>
                  </w:r>
                </w:p>
              </w:tc>
              <w:tc>
                <w:tcPr>
                  <w:tcW w:w="3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995,488.67 </w:t>
                  </w:r>
                </w:p>
              </w:tc>
            </w:tr>
            <w:tr>
              <w:tblPrEx>
                <w:shd w:val="clear" w:color="auto" w:fill="auto"/>
                <w:tblCellMar>
                  <w:top w:w="0" w:type="dxa"/>
                  <w:left w:w="0" w:type="dxa"/>
                  <w:bottom w:w="0" w:type="dxa"/>
                  <w:right w:w="0" w:type="dxa"/>
                </w:tblCellMar>
              </w:tblPrEx>
              <w:trPr>
                <w:trHeight w:val="27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能源投入</w:t>
                  </w:r>
                </w:p>
              </w:tc>
              <w:tc>
                <w:tcPr>
                  <w:tcW w:w="3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32,890,613.54 </w:t>
                  </w:r>
                </w:p>
              </w:tc>
            </w:tr>
            <w:tr>
              <w:tblPrEx>
                <w:shd w:val="clear" w:color="auto" w:fill="auto"/>
                <w:tblCellMar>
                  <w:top w:w="0" w:type="dxa"/>
                  <w:left w:w="0" w:type="dxa"/>
                  <w:bottom w:w="0" w:type="dxa"/>
                  <w:right w:w="0" w:type="dxa"/>
                </w:tblCellMar>
              </w:tblPrEx>
              <w:trPr>
                <w:trHeight w:val="27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社保（企业、个人）</w:t>
                  </w:r>
                </w:p>
              </w:tc>
              <w:tc>
                <w:tcPr>
                  <w:tcW w:w="3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5,826,320.29 </w:t>
                  </w:r>
                </w:p>
              </w:tc>
            </w:tr>
            <w:tr>
              <w:tblPrEx>
                <w:shd w:val="clear" w:color="auto" w:fill="auto"/>
                <w:tblCellMar>
                  <w:top w:w="0" w:type="dxa"/>
                  <w:left w:w="0" w:type="dxa"/>
                  <w:bottom w:w="0" w:type="dxa"/>
                  <w:right w:w="0" w:type="dxa"/>
                </w:tblCellMar>
              </w:tblPrEx>
              <w:trPr>
                <w:trHeight w:val="27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女工（方面投入）</w:t>
                  </w:r>
                </w:p>
              </w:tc>
              <w:tc>
                <w:tcPr>
                  <w:tcW w:w="3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131,950.00 </w:t>
                  </w:r>
                </w:p>
              </w:tc>
            </w:tr>
            <w:tr>
              <w:tblPrEx>
                <w:shd w:val="clear" w:color="auto" w:fill="auto"/>
                <w:tblCellMar>
                  <w:top w:w="0" w:type="dxa"/>
                  <w:left w:w="0" w:type="dxa"/>
                  <w:bottom w:w="0" w:type="dxa"/>
                  <w:right w:w="0" w:type="dxa"/>
                </w:tblCellMar>
              </w:tblPrEx>
              <w:trPr>
                <w:trHeight w:val="27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劳保</w:t>
                  </w:r>
                </w:p>
              </w:tc>
              <w:tc>
                <w:tcPr>
                  <w:tcW w:w="3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53,183.96 </w:t>
                  </w:r>
                </w:p>
              </w:tc>
            </w:tr>
            <w:tr>
              <w:tblPrEx>
                <w:shd w:val="clear" w:color="auto" w:fill="auto"/>
                <w:tblCellMar>
                  <w:top w:w="0" w:type="dxa"/>
                  <w:left w:w="0" w:type="dxa"/>
                  <w:bottom w:w="0" w:type="dxa"/>
                  <w:right w:w="0" w:type="dxa"/>
                </w:tblCellMar>
              </w:tblPrEx>
              <w:trPr>
                <w:trHeight w:val="27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3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39,897,556.46 </w:t>
                  </w:r>
                </w:p>
              </w:tc>
            </w:tr>
          </w:tbl>
          <w:p>
            <w:pPr>
              <w:jc w:val="left"/>
              <w:rPr>
                <w:rFonts w:hint="default" w:ascii="宋体" w:hAnsi="宋体" w:eastAsia="宋体" w:cs="宋体"/>
                <w:b w:val="0"/>
                <w:bCs w:val="0"/>
                <w:color w:val="auto"/>
                <w:sz w:val="24"/>
                <w:szCs w:val="24"/>
                <w:lang w:val="en-US" w:eastAsia="zh-CN"/>
              </w:rPr>
            </w:pPr>
          </w:p>
        </w:tc>
        <w:tc>
          <w:tcPr>
            <w:tcW w:w="848" w:type="dxa"/>
          </w:tcPr>
          <w:p/>
          <w:p/>
          <w:p/>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160" w:type="dxa"/>
          </w:tcPr>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环境因素</w:t>
            </w:r>
          </w:p>
          <w:p>
            <w:pPr>
              <w:rPr>
                <w:rFonts w:hint="eastAsia" w:ascii="宋体" w:hAnsi="宋体" w:eastAsia="宋体" w:cs="宋体"/>
                <w:sz w:val="24"/>
                <w:szCs w:val="24"/>
                <w:lang w:val="en-US" w:eastAsia="zh-CN"/>
              </w:rPr>
            </w:pPr>
          </w:p>
        </w:tc>
        <w:tc>
          <w:tcPr>
            <w:tcW w:w="960" w:type="dxa"/>
          </w:tcPr>
          <w:p>
            <w:pPr>
              <w:jc w:val="left"/>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E</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6.1.2</w:t>
            </w:r>
          </w:p>
          <w:p>
            <w:pPr>
              <w:jc w:val="left"/>
              <w:rPr>
                <w:rFonts w:hint="eastAsia" w:ascii="宋体" w:hAnsi="宋体" w:eastAsia="宋体" w:cs="宋体"/>
                <w:b w:val="0"/>
                <w:bCs w:val="0"/>
                <w:color w:val="auto"/>
                <w:sz w:val="24"/>
                <w:szCs w:val="24"/>
                <w:lang w:val="en-US" w:eastAsia="zh-CN"/>
              </w:rPr>
            </w:pPr>
          </w:p>
        </w:tc>
        <w:tc>
          <w:tcPr>
            <w:tcW w:w="10741" w:type="dxa"/>
          </w:tcPr>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编制了《环境因素识别与评价表》环境因素6项、具体“水电纸张消耗、废旧墨盒硒鼓废弃、潜在火灾等——有相应的控制措施、及涉及人员和相关方信息、未见明显遗漏；</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确定的环境影响4项、具体为大气污染、土壤污染和原材料及能源消耗等 ；</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有三种时态和状态的说明；</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对环境影响评价方法为（打分法）；</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提供了《重要环境因素清单》1项、主要为火灾，有控制方法的相关内容，查环境因素识别基本符合实际情况，未见明显遗漏、评价基本准确；对应了风险和机遇中重要环境因素的相关信息、未见明显遗漏，符合规定；</w:t>
            </w:r>
          </w:p>
          <w:p>
            <w:pPr>
              <w:jc w:val="left"/>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上述文件有编审批、更新日期2020.7.3；</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近一年来现场环境基本没有发生变化；</w:t>
            </w:r>
          </w:p>
        </w:tc>
        <w:tc>
          <w:tcPr>
            <w:tcW w:w="848" w:type="dxa"/>
          </w:tcPr>
          <w:p/>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160" w:type="dxa"/>
          </w:tcPr>
          <w:p>
            <w:pPr>
              <w:rPr>
                <w:rFonts w:hint="default" w:ascii="宋体" w:hAnsi="宋体" w:eastAsia="宋体" w:cs="宋体"/>
                <w:sz w:val="24"/>
                <w:szCs w:val="24"/>
                <w:lang w:val="en-US" w:eastAsia="zh-CN"/>
              </w:rPr>
            </w:pPr>
            <w:r>
              <w:rPr>
                <w:rFonts w:hint="eastAsia" w:ascii="宋体" w:hAnsi="宋体" w:cs="宋体"/>
                <w:sz w:val="24"/>
                <w:szCs w:val="24"/>
                <w:lang w:val="en-US" w:eastAsia="zh-CN"/>
              </w:rPr>
              <w:t>危险源识别和控制措施</w:t>
            </w:r>
          </w:p>
        </w:tc>
        <w:tc>
          <w:tcPr>
            <w:tcW w:w="960" w:type="dxa"/>
          </w:tcPr>
          <w:p>
            <w:pPr>
              <w:jc w:val="left"/>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S</w:t>
            </w:r>
          </w:p>
          <w:p>
            <w:pPr>
              <w:jc w:val="left"/>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6.1.2</w:t>
            </w:r>
          </w:p>
        </w:tc>
        <w:tc>
          <w:tcPr>
            <w:tcW w:w="10741" w:type="dxa"/>
          </w:tcPr>
          <w:p>
            <w:pPr>
              <w:jc w:val="left"/>
              <w:rPr>
                <w:rFonts w:hint="eastAsia" w:ascii="宋体" w:hAnsi="宋体" w:eastAsia="宋体" w:cs="宋体"/>
                <w:b w:val="0"/>
                <w:bCs w:val="0"/>
                <w:color w:val="auto"/>
                <w:sz w:val="24"/>
                <w:szCs w:val="24"/>
                <w:lang w:val="zh-CN" w:eastAsia="zh-CN"/>
              </w:rPr>
            </w:pPr>
            <w:r>
              <w:rPr>
                <w:rFonts w:hint="eastAsia" w:ascii="宋体" w:hAnsi="宋体" w:eastAsia="宋体" w:cs="宋体"/>
                <w:b w:val="0"/>
                <w:bCs w:val="0"/>
                <w:color w:val="auto"/>
                <w:sz w:val="24"/>
                <w:szCs w:val="24"/>
                <w:lang w:val="en-US" w:eastAsia="zh-CN"/>
              </w:rPr>
              <w:t>编制了</w:t>
            </w:r>
            <w:r>
              <w:rPr>
                <w:rFonts w:hint="eastAsia" w:ascii="宋体" w:hAnsi="宋体" w:eastAsia="宋体" w:cs="宋体"/>
                <w:b w:val="0"/>
                <w:bCs w:val="0"/>
                <w:color w:val="auto"/>
                <w:sz w:val="24"/>
                <w:szCs w:val="24"/>
                <w:lang w:val="zh-CN" w:eastAsia="zh-CN"/>
              </w:rPr>
              <w:t>《危险源辨识、风险评价和控制措施一览表》</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识别的危险源20项、包括“电气漏电、火灾、 化学品挥发中毒或不适、噪音、消防设施的不足、饮水机操作”等——查基本没有遗漏；</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对上述识别的危险源确定了相应的危害内容（中毒、触电等）；</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采用LECD评价法、风险等级为中度以下、均为可以接受的风险；</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评价出的重大危险源1项、具体为火灾、查评价基本准确；</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控制措施包括“个人防护、培训教育、检查消除”等；</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文件有编审批更新日期2020.7.10；</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查近一年 场地环境没有变化；</w:t>
            </w:r>
          </w:p>
        </w:tc>
        <w:tc>
          <w:tcPr>
            <w:tcW w:w="848" w:type="dxa"/>
          </w:tcPr>
          <w:p/>
          <w:p/>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沟通</w:t>
            </w:r>
          </w:p>
          <w:p/>
        </w:tc>
        <w:tc>
          <w:tcPr>
            <w:tcW w:w="960" w:type="dxa"/>
          </w:tcPr>
          <w:p>
            <w:pPr>
              <w:jc w:val="left"/>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QESEn</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7.4</w:t>
            </w:r>
          </w:p>
          <w:p>
            <w:pPr>
              <w:jc w:val="left"/>
              <w:rPr>
                <w:rFonts w:hint="eastAsia" w:ascii="宋体" w:hAnsi="宋体" w:eastAsia="宋体" w:cs="宋体"/>
                <w:b w:val="0"/>
                <w:bCs w:val="0"/>
                <w:color w:val="auto"/>
                <w:sz w:val="24"/>
                <w:szCs w:val="24"/>
                <w:lang w:val="en-US" w:eastAsia="zh-CN"/>
              </w:rPr>
            </w:pPr>
          </w:p>
        </w:tc>
        <w:tc>
          <w:tcPr>
            <w:tcW w:w="10741" w:type="dxa"/>
          </w:tcPr>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zh-CN" w:eastAsia="zh-CN"/>
              </w:rPr>
              <w:t>建立了《信息交流控制程序》</w:t>
            </w:r>
            <w:r>
              <w:rPr>
                <w:rFonts w:hint="eastAsia" w:ascii="宋体" w:hAnsi="宋体" w:eastAsia="宋体" w:cs="宋体"/>
                <w:b w:val="0"/>
                <w:bCs w:val="0"/>
                <w:color w:val="auto"/>
                <w:sz w:val="24"/>
                <w:szCs w:val="24"/>
                <w:lang w:val="en-US" w:eastAsia="zh-CN"/>
              </w:rPr>
              <w:t>规定了</w:t>
            </w:r>
            <w:r>
              <w:rPr>
                <w:rFonts w:hint="eastAsia" w:ascii="宋体" w:hAnsi="宋体" w:eastAsia="宋体" w:cs="宋体"/>
                <w:b w:val="0"/>
                <w:bCs w:val="0"/>
                <w:color w:val="auto"/>
                <w:sz w:val="24"/>
                <w:szCs w:val="24"/>
                <w:lang w:val="zh-CN" w:eastAsia="zh-CN"/>
              </w:rPr>
              <w:t>建立、实施和保持如下的内、</w:t>
            </w:r>
            <w:r>
              <w:rPr>
                <w:rFonts w:hint="eastAsia" w:ascii="宋体" w:hAnsi="宋体" w:eastAsia="宋体" w:cs="宋体"/>
                <w:b w:val="0"/>
                <w:bCs w:val="0"/>
                <w:color w:val="auto"/>
                <w:sz w:val="24"/>
                <w:szCs w:val="24"/>
                <w:lang w:val="en-US" w:eastAsia="zh-CN"/>
              </w:rPr>
              <w:t>外</w:t>
            </w:r>
            <w:r>
              <w:rPr>
                <w:rFonts w:hint="eastAsia" w:ascii="宋体" w:hAnsi="宋体" w:eastAsia="宋体" w:cs="宋体"/>
                <w:b w:val="0"/>
                <w:bCs w:val="0"/>
                <w:color w:val="auto"/>
                <w:sz w:val="24"/>
                <w:szCs w:val="24"/>
                <w:lang w:val="zh-CN" w:eastAsia="zh-CN"/>
              </w:rPr>
              <w:t>部沟通方式、方法，在不同部门和层次之间对能源管理体系运行的有效性包括过程和要求、能源因素影响信息、目标完成情况进行沟通，使不同层次的人员都能及时有效地获取与工作相关信息。对沟通过程中发现的问题及时解决落实，消除能源管理体系有效运行的障碍。</w:t>
            </w:r>
          </w:p>
          <w:p>
            <w:pPr>
              <w:jc w:val="left"/>
              <w:rPr>
                <w:rFonts w:hint="eastAsia" w:ascii="宋体" w:hAnsi="宋体" w:eastAsia="宋体" w:cs="宋体"/>
                <w:b w:val="0"/>
                <w:bCs w:val="0"/>
                <w:color w:val="auto"/>
                <w:sz w:val="24"/>
                <w:szCs w:val="24"/>
                <w:lang w:val="zh-CN" w:eastAsia="zh-CN"/>
              </w:rPr>
            </w:pPr>
            <w:r>
              <w:rPr>
                <w:rFonts w:hint="eastAsia" w:ascii="宋体" w:hAnsi="宋体" w:eastAsia="宋体" w:cs="宋体"/>
                <w:b w:val="0"/>
                <w:bCs w:val="0"/>
                <w:color w:val="auto"/>
                <w:sz w:val="24"/>
                <w:szCs w:val="24"/>
                <w:lang w:val="zh-CN" w:eastAsia="zh-CN"/>
              </w:rPr>
              <w:t>为确保内、外部信息交流的有效性和持续改进，沟通过程视需要而定，会议、座谈讨论、通报、书面材料、电子媒体、记录、通讯、内审、管理评审等都是可选择的方法。</w:t>
            </w:r>
          </w:p>
          <w:p>
            <w:pPr>
              <w:jc w:val="left"/>
              <w:rPr>
                <w:rFonts w:hint="eastAsia" w:ascii="宋体" w:hAnsi="宋体" w:eastAsia="宋体" w:cs="宋体"/>
                <w:b w:val="0"/>
                <w:bCs w:val="0"/>
                <w:color w:val="auto"/>
                <w:sz w:val="24"/>
                <w:szCs w:val="24"/>
                <w:lang w:val="zh-CN" w:eastAsia="zh-CN"/>
              </w:rPr>
            </w:pPr>
            <w:r>
              <w:rPr>
                <w:rFonts w:hint="eastAsia" w:ascii="宋体" w:hAnsi="宋体" w:eastAsia="宋体" w:cs="宋体"/>
                <w:b w:val="0"/>
                <w:bCs w:val="0"/>
                <w:color w:val="auto"/>
                <w:sz w:val="24"/>
                <w:szCs w:val="24"/>
                <w:lang w:val="zh-CN" w:eastAsia="zh-CN"/>
              </w:rPr>
              <w:t>一般沟通活动可包括：文件（包括记录）；在工作区域内由管理者引导的沟通；通过管理例会和有关专题会议，如年终彰会，加强各职能部门之间的信息交流与沟通。与任务有关的应有会议签到表，必要时应做书面会议记录和报告；布告栏、</w:t>
            </w:r>
            <w:r>
              <w:rPr>
                <w:rFonts w:hint="eastAsia" w:ascii="宋体" w:hAnsi="宋体" w:eastAsia="宋体" w:cs="宋体"/>
                <w:b w:val="0"/>
                <w:bCs w:val="0"/>
                <w:color w:val="auto"/>
                <w:sz w:val="24"/>
                <w:szCs w:val="24"/>
                <w:lang w:val="en-US" w:eastAsia="zh-CN"/>
              </w:rPr>
              <w:t>微信</w:t>
            </w:r>
            <w:r>
              <w:rPr>
                <w:rFonts w:hint="eastAsia" w:ascii="宋体" w:hAnsi="宋体" w:eastAsia="宋体" w:cs="宋体"/>
                <w:b w:val="0"/>
                <w:bCs w:val="0"/>
                <w:color w:val="auto"/>
                <w:sz w:val="24"/>
                <w:szCs w:val="24"/>
                <w:lang w:val="zh-CN" w:eastAsia="zh-CN"/>
              </w:rPr>
              <w:t>；声像和电子媒体，如电子邮件和网址；与上级主管部门的回复、上报资料等；本公司内人员的调查表和建议书。</w:t>
            </w:r>
          </w:p>
          <w:p>
            <w:pPr>
              <w:jc w:val="left"/>
              <w:rPr>
                <w:rFonts w:hint="eastAsia" w:ascii="宋体" w:hAnsi="宋体" w:eastAsia="宋体" w:cs="宋体"/>
                <w:b w:val="0"/>
                <w:bCs w:val="0"/>
                <w:color w:val="auto"/>
                <w:sz w:val="24"/>
                <w:szCs w:val="24"/>
                <w:lang w:val="zh-CN" w:eastAsia="zh-CN"/>
              </w:rPr>
            </w:pPr>
            <w:r>
              <w:rPr>
                <w:rFonts w:hint="eastAsia" w:ascii="宋体" w:hAnsi="宋体" w:eastAsia="宋体" w:cs="宋体"/>
                <w:b w:val="0"/>
                <w:bCs w:val="0"/>
                <w:color w:val="auto"/>
                <w:sz w:val="24"/>
                <w:szCs w:val="24"/>
                <w:lang w:val="zh-CN" w:eastAsia="zh-CN"/>
              </w:rPr>
              <w:t>鼓励不同岗位之间员工就如何实现目标和工作的配合、协调进行积极充分的沟通。沟通应贯穿于整个体系中，对适用法律法规、政策的掌握，能源目标指标实现情况，能源参数，节能技术及管理经验等进行明确地沟通，是非常重要的。上述沟通过程可使用的适当记录包括：信息联系单、主管单位的上报资料等。</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外部信息交流的方式包括：</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通过节能网站、参加会议的方式；与行业协会、主管部门等通过电子邮件、电话等方式寻求信息；及时处理节能监察部门的要求及整改问题方式交流；定期向主管部门提交能源报表、能源利用报告等形式交流。</w:t>
            </w:r>
          </w:p>
        </w:tc>
        <w:tc>
          <w:tcPr>
            <w:tcW w:w="848" w:type="dxa"/>
          </w:tcPr>
          <w:p/>
          <w:p/>
          <w:p/>
          <w:p/>
          <w:p/>
          <w:p/>
          <w:p/>
          <w:p/>
          <w:p>
            <w:pPr>
              <w:rPr>
                <w:rFonts w:hint="default" w:eastAsia="宋体"/>
                <w:lang w:val="en-US" w:eastAsia="zh-CN"/>
              </w:rPr>
            </w:pPr>
            <w:r>
              <w:rPr>
                <w:rFonts w:hint="eastAsia"/>
                <w:lang w:val="en-US" w:eastAsia="zh-CN"/>
              </w:rPr>
              <w:t xml:space="preserve">  y</w:t>
            </w:r>
          </w:p>
        </w:tc>
      </w:tr>
      <w:bookmarkEnd w:id="0"/>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2"/>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F6E36"/>
    <w:rsid w:val="0B5D3E66"/>
    <w:rsid w:val="122B37E9"/>
    <w:rsid w:val="164E35BC"/>
    <w:rsid w:val="170B1AE0"/>
    <w:rsid w:val="17620912"/>
    <w:rsid w:val="2020253E"/>
    <w:rsid w:val="22356BC7"/>
    <w:rsid w:val="32B86116"/>
    <w:rsid w:val="3D991F1B"/>
    <w:rsid w:val="467B6A70"/>
    <w:rsid w:val="4A377E98"/>
    <w:rsid w:val="4EE13F28"/>
    <w:rsid w:val="5B0F3343"/>
    <w:rsid w:val="6928043A"/>
    <w:rsid w:val="6B665297"/>
    <w:rsid w:val="71B64DD0"/>
    <w:rsid w:val="788A50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99"/>
    <w:pPr>
      <w:keepNext/>
      <w:keepLines/>
      <w:spacing w:line="520" w:lineRule="exact"/>
      <w:outlineLvl w:val="2"/>
    </w:pPr>
    <w:rPr>
      <w:rFonts w:ascii="宋体" w:cs="宋体"/>
      <w:b/>
      <w:bCs/>
      <w:sz w:val="24"/>
      <w:szCs w:val="2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21</TotalTime>
  <ScaleCrop>false</ScaleCrop>
  <LinksUpToDate>false</LinksUpToDate>
  <CharactersWithSpaces>101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2021-03-24T05:22:38Z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27523E7699A8486DA247D77A2AA10996</vt:lpwstr>
  </property>
</Properties>
</file>