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24"/>
        </w:rPr>
      </w:pPr>
      <w:r>
        <w:rPr>
          <w:rFonts w:hint="eastAsia" w:ascii="隶书" w:hAnsi="宋体" w:eastAsia="隶书"/>
          <w:bCs/>
          <w:color w:val="000000"/>
          <w:sz w:val="24"/>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rPr>
            </w:pPr>
            <w:r>
              <w:rPr>
                <w:rFonts w:hint="eastAsia"/>
                <w:sz w:val="24"/>
              </w:rPr>
              <w:t>过程与活动、</w:t>
            </w:r>
          </w:p>
          <w:p>
            <w:pPr>
              <w:jc w:val="center"/>
              <w:rPr>
                <w:sz w:val="24"/>
              </w:rPr>
            </w:pPr>
            <w:r>
              <w:rPr>
                <w:rFonts w:hint="eastAsia"/>
                <w:sz w:val="24"/>
              </w:rPr>
              <w:t>抽样计划</w:t>
            </w:r>
          </w:p>
        </w:tc>
        <w:tc>
          <w:tcPr>
            <w:tcW w:w="960" w:type="dxa"/>
            <w:vMerge w:val="restart"/>
            <w:vAlign w:val="center"/>
          </w:tcPr>
          <w:p>
            <w:pPr>
              <w:rPr>
                <w:sz w:val="24"/>
              </w:rPr>
            </w:pPr>
            <w:r>
              <w:rPr>
                <w:rFonts w:hint="eastAsia"/>
                <w:sz w:val="24"/>
              </w:rPr>
              <w:t>涉及</w:t>
            </w:r>
          </w:p>
          <w:p>
            <w:pPr>
              <w:rPr>
                <w:sz w:val="24"/>
              </w:rPr>
            </w:pPr>
            <w:r>
              <w:rPr>
                <w:rFonts w:hint="eastAsia"/>
                <w:sz w:val="24"/>
              </w:rPr>
              <w:t>条款</w:t>
            </w:r>
          </w:p>
        </w:tc>
        <w:tc>
          <w:tcPr>
            <w:tcW w:w="10004" w:type="dxa"/>
            <w:vAlign w:val="center"/>
          </w:tcPr>
          <w:p>
            <w:pPr>
              <w:rPr>
                <w:sz w:val="24"/>
              </w:rPr>
            </w:pPr>
            <w:r>
              <w:rPr>
                <w:rFonts w:hint="eastAsia"/>
                <w:sz w:val="24"/>
              </w:rPr>
              <w:t>受审核部门：</w:t>
            </w:r>
            <w:r>
              <w:rPr>
                <w:rFonts w:hint="eastAsia"/>
                <w:sz w:val="24"/>
                <w:lang w:val="en-US" w:eastAsia="zh-CN"/>
              </w:rPr>
              <w:t>生产部（仓库）</w:t>
            </w:r>
            <w:r>
              <w:rPr>
                <w:rFonts w:hint="eastAsia"/>
                <w:sz w:val="24"/>
              </w:rPr>
              <w:t xml:space="preserve"> </w:t>
            </w:r>
            <w:r>
              <w:rPr>
                <w:sz w:val="24"/>
              </w:rPr>
              <w:t xml:space="preserve">          </w:t>
            </w:r>
            <w:r>
              <w:rPr>
                <w:rFonts w:hint="eastAsia"/>
                <w:sz w:val="24"/>
              </w:rPr>
              <w:t>主管领导：</w:t>
            </w:r>
            <w:r>
              <w:rPr>
                <w:rFonts w:hint="eastAsia"/>
                <w:sz w:val="24"/>
                <w:lang w:val="en-US" w:eastAsia="zh-CN"/>
              </w:rPr>
              <w:t>肖国文</w:t>
            </w:r>
            <w:r>
              <w:rPr>
                <w:sz w:val="24"/>
              </w:rPr>
              <w:t xml:space="preserve"> </w:t>
            </w:r>
            <w:r>
              <w:rPr>
                <w:rFonts w:hint="eastAsia"/>
                <w:sz w:val="24"/>
                <w:lang w:val="en-US" w:eastAsia="zh-CN"/>
              </w:rPr>
              <w:t xml:space="preserve"> </w:t>
            </w:r>
            <w:r>
              <w:rPr>
                <w:sz w:val="24"/>
              </w:rPr>
              <w:t xml:space="preserve"> </w:t>
            </w:r>
            <w:r>
              <w:rPr>
                <w:rFonts w:hint="eastAsia"/>
                <w:sz w:val="24"/>
                <w:lang w:val="en-US" w:eastAsia="zh-CN"/>
              </w:rPr>
              <w:t xml:space="preserve">   </w:t>
            </w:r>
            <w:r>
              <w:rPr>
                <w:rFonts w:hint="eastAsia"/>
                <w:sz w:val="24"/>
              </w:rPr>
              <w:t>陪同人员：</w:t>
            </w:r>
            <w:r>
              <w:rPr>
                <w:rFonts w:hint="eastAsia"/>
                <w:sz w:val="24"/>
                <w:lang w:val="en-US" w:eastAsia="zh-CN"/>
              </w:rPr>
              <w:t>周妹</w:t>
            </w:r>
            <w:r>
              <w:rPr>
                <w:rFonts w:hint="eastAsia"/>
                <w:sz w:val="24"/>
              </w:rPr>
              <w:t xml:space="preserve">  </w:t>
            </w:r>
          </w:p>
        </w:tc>
        <w:tc>
          <w:tcPr>
            <w:tcW w:w="1585" w:type="dxa"/>
            <w:vMerge w:val="restart"/>
            <w:vAlign w:val="center"/>
          </w:tcPr>
          <w:p>
            <w:pPr>
              <w:rPr>
                <w:sz w:val="24"/>
              </w:rPr>
            </w:pPr>
            <w:r>
              <w:rPr>
                <w:rFonts w:hint="eastAsia"/>
                <w:sz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rPr>
            </w:pPr>
          </w:p>
        </w:tc>
        <w:tc>
          <w:tcPr>
            <w:tcW w:w="960" w:type="dxa"/>
            <w:vMerge w:val="continue"/>
            <w:vAlign w:val="center"/>
          </w:tcPr>
          <w:p>
            <w:pPr>
              <w:rPr>
                <w:sz w:val="24"/>
              </w:rPr>
            </w:pPr>
          </w:p>
        </w:tc>
        <w:tc>
          <w:tcPr>
            <w:tcW w:w="10004" w:type="dxa"/>
            <w:vAlign w:val="center"/>
          </w:tcPr>
          <w:p>
            <w:pPr>
              <w:spacing w:before="120"/>
              <w:rPr>
                <w:sz w:val="24"/>
              </w:rPr>
            </w:pPr>
            <w:r>
              <w:rPr>
                <w:rFonts w:hint="eastAsia"/>
                <w:sz w:val="24"/>
                <w:szCs w:val="24"/>
              </w:rPr>
              <w:t>审核员：</w:t>
            </w:r>
            <w:r>
              <w:rPr>
                <w:rFonts w:hint="eastAsia"/>
                <w:sz w:val="24"/>
                <w:szCs w:val="24"/>
                <w:lang w:val="en-US" w:eastAsia="zh-CN"/>
              </w:rPr>
              <w:t>张磊</w:t>
            </w:r>
            <w:r>
              <w:rPr>
                <w:sz w:val="24"/>
                <w:szCs w:val="24"/>
              </w:rPr>
              <w:t xml:space="preserve">                 </w:t>
            </w:r>
            <w:r>
              <w:rPr>
                <w:rFonts w:hint="eastAsia"/>
                <w:sz w:val="24"/>
                <w:szCs w:val="24"/>
              </w:rPr>
              <w:t>审核时间：20</w:t>
            </w:r>
            <w:r>
              <w:rPr>
                <w:rFonts w:hint="eastAsia"/>
                <w:sz w:val="24"/>
                <w:szCs w:val="24"/>
                <w:lang w:val="en-US" w:eastAsia="zh-CN"/>
              </w:rPr>
              <w:t>21</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13</w:t>
            </w:r>
            <w:r>
              <w:rPr>
                <w:rFonts w:hint="eastAsia"/>
                <w:sz w:val="24"/>
                <w:szCs w:val="24"/>
              </w:rPr>
              <w:t>日</w:t>
            </w:r>
          </w:p>
        </w:tc>
        <w:tc>
          <w:tcPr>
            <w:tcW w:w="1585"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rPr>
            </w:pPr>
          </w:p>
        </w:tc>
        <w:tc>
          <w:tcPr>
            <w:tcW w:w="960" w:type="dxa"/>
            <w:vMerge w:val="continue"/>
            <w:vAlign w:val="center"/>
          </w:tcPr>
          <w:p>
            <w:pPr>
              <w:rPr>
                <w:sz w:val="24"/>
              </w:rPr>
            </w:pPr>
          </w:p>
        </w:tc>
        <w:tc>
          <w:tcPr>
            <w:tcW w:w="10004" w:type="dxa"/>
            <w:vAlign w:val="center"/>
          </w:tcPr>
          <w:p>
            <w:pPr>
              <w:rPr>
                <w:sz w:val="24"/>
              </w:rPr>
            </w:pPr>
            <w:r>
              <w:rPr>
                <w:rFonts w:hint="eastAsia"/>
                <w:sz w:val="24"/>
              </w:rPr>
              <w:t>审核条款：</w:t>
            </w:r>
          </w:p>
          <w:p>
            <w:pPr>
              <w:snapToGrid w:val="0"/>
              <w:spacing w:line="280" w:lineRule="exact"/>
              <w:jc w:val="left"/>
              <w:rPr>
                <w:rFonts w:hint="default" w:eastAsia="宋体" w:cs="Arial"/>
                <w:bCs/>
                <w:szCs w:val="21"/>
                <w:lang w:val="en-US" w:eastAsia="zh-CN"/>
              </w:rPr>
            </w:pPr>
            <w:r>
              <w:rPr>
                <w:rFonts w:hint="eastAsia" w:ascii="宋体" w:hAnsi="宋体" w:cs="Arial"/>
                <w:bCs/>
                <w:sz w:val="24"/>
              </w:rPr>
              <w:t>QMS：6.1、6.2、7.1.</w:t>
            </w:r>
            <w:r>
              <w:rPr>
                <w:rFonts w:hint="eastAsia" w:ascii="宋体" w:hAnsi="宋体" w:cs="Arial"/>
                <w:bCs/>
                <w:sz w:val="24"/>
                <w:lang w:val="en-US" w:eastAsia="zh-CN"/>
              </w:rPr>
              <w:t>3</w:t>
            </w:r>
            <w:r>
              <w:rPr>
                <w:rFonts w:hint="eastAsia" w:ascii="宋体" w:hAnsi="宋体" w:cs="Arial"/>
                <w:bCs/>
                <w:sz w:val="24"/>
              </w:rPr>
              <w:t>、7.1.</w:t>
            </w:r>
            <w:r>
              <w:rPr>
                <w:rFonts w:hint="eastAsia" w:ascii="宋体" w:hAnsi="宋体" w:cs="Arial"/>
                <w:bCs/>
                <w:sz w:val="24"/>
                <w:lang w:val="en-US" w:eastAsia="zh-CN"/>
              </w:rPr>
              <w:t>4</w:t>
            </w:r>
            <w:r>
              <w:rPr>
                <w:rFonts w:hint="eastAsia" w:ascii="宋体" w:hAnsi="宋体" w:cs="Arial"/>
                <w:bCs/>
                <w:sz w:val="24"/>
              </w:rPr>
              <w:t>、7.</w:t>
            </w:r>
            <w:r>
              <w:rPr>
                <w:rFonts w:hint="eastAsia" w:ascii="宋体" w:hAnsi="宋体" w:cs="Arial"/>
                <w:bCs/>
                <w:sz w:val="24"/>
                <w:lang w:val="en-US" w:eastAsia="zh-CN"/>
              </w:rPr>
              <w:t>4</w:t>
            </w:r>
            <w:r>
              <w:rPr>
                <w:rFonts w:hint="eastAsia" w:ascii="宋体" w:hAnsi="宋体" w:cs="Arial"/>
                <w:bCs/>
                <w:sz w:val="24"/>
              </w:rPr>
              <w:t>、</w:t>
            </w:r>
            <w:r>
              <w:rPr>
                <w:rFonts w:hint="eastAsia" w:ascii="宋体" w:hAnsi="宋体" w:cs="Arial"/>
                <w:bCs/>
                <w:sz w:val="24"/>
                <w:lang w:val="en-US" w:eastAsia="zh-CN"/>
              </w:rPr>
              <w:t>8.1</w:t>
            </w:r>
            <w:r>
              <w:rPr>
                <w:rFonts w:hint="eastAsia" w:ascii="宋体" w:hAnsi="宋体" w:cs="Arial"/>
                <w:bCs/>
                <w:sz w:val="24"/>
              </w:rPr>
              <w:t>、</w:t>
            </w:r>
            <w:r>
              <w:rPr>
                <w:rFonts w:hint="eastAsia" w:ascii="宋体" w:hAnsi="宋体" w:cs="Arial"/>
                <w:bCs/>
                <w:sz w:val="24"/>
                <w:lang w:val="en-US" w:eastAsia="zh-CN"/>
              </w:rPr>
              <w:t>8.5.1</w:t>
            </w:r>
            <w:r>
              <w:rPr>
                <w:rFonts w:hint="eastAsia" w:ascii="宋体" w:hAnsi="宋体" w:cs="Arial"/>
                <w:bCs/>
                <w:sz w:val="24"/>
              </w:rPr>
              <w:t>、</w:t>
            </w:r>
            <w:r>
              <w:rPr>
                <w:rFonts w:hint="eastAsia" w:ascii="宋体" w:hAnsi="宋体" w:cs="Arial"/>
                <w:bCs/>
                <w:sz w:val="24"/>
                <w:lang w:val="en-US" w:eastAsia="zh-CN"/>
              </w:rPr>
              <w:t>8.5.2</w:t>
            </w:r>
            <w:r>
              <w:rPr>
                <w:rFonts w:hint="eastAsia" w:ascii="宋体" w:hAnsi="宋体" w:cs="Arial"/>
                <w:bCs/>
                <w:sz w:val="24"/>
              </w:rPr>
              <w:t>、</w:t>
            </w:r>
            <w:r>
              <w:rPr>
                <w:rFonts w:hint="eastAsia" w:ascii="宋体" w:hAnsi="宋体" w:cs="Arial"/>
                <w:bCs/>
                <w:sz w:val="24"/>
                <w:lang w:val="en-US" w:eastAsia="zh-CN"/>
              </w:rPr>
              <w:t>8.5.3</w:t>
            </w:r>
            <w:r>
              <w:rPr>
                <w:rFonts w:hint="eastAsia" w:ascii="宋体" w:hAnsi="宋体" w:cs="Arial"/>
                <w:bCs/>
                <w:sz w:val="24"/>
              </w:rPr>
              <w:t>、</w:t>
            </w:r>
            <w:r>
              <w:rPr>
                <w:rFonts w:hint="eastAsia" w:ascii="宋体" w:hAnsi="宋体" w:cs="Arial"/>
                <w:bCs/>
                <w:sz w:val="24"/>
                <w:lang w:val="en-US" w:eastAsia="zh-CN"/>
              </w:rPr>
              <w:t>8.5.4</w:t>
            </w:r>
            <w:r>
              <w:rPr>
                <w:rFonts w:hint="eastAsia" w:ascii="宋体" w:hAnsi="宋体" w:cs="Arial"/>
                <w:bCs/>
                <w:sz w:val="24"/>
              </w:rPr>
              <w:t>、</w:t>
            </w:r>
            <w:r>
              <w:rPr>
                <w:rFonts w:hint="eastAsia" w:ascii="宋体" w:hAnsi="宋体" w:cs="Arial"/>
                <w:bCs/>
                <w:sz w:val="24"/>
                <w:lang w:val="en-US" w:eastAsia="zh-CN"/>
              </w:rPr>
              <w:t>8.5.5</w:t>
            </w:r>
            <w:r>
              <w:rPr>
                <w:rFonts w:hint="eastAsia" w:ascii="宋体" w:hAnsi="宋体" w:cs="Arial"/>
                <w:bCs/>
                <w:sz w:val="24"/>
              </w:rPr>
              <w:t>、</w:t>
            </w:r>
            <w:r>
              <w:rPr>
                <w:rFonts w:hint="eastAsia" w:ascii="宋体" w:hAnsi="宋体" w:cs="Arial"/>
                <w:bCs/>
                <w:sz w:val="24"/>
                <w:lang w:val="en-US" w:eastAsia="zh-CN"/>
              </w:rPr>
              <w:t>8.5.6</w:t>
            </w:r>
            <w:r>
              <w:rPr>
                <w:rFonts w:hint="eastAsia" w:ascii="宋体" w:hAnsi="宋体" w:cs="Arial"/>
                <w:bCs/>
                <w:sz w:val="24"/>
              </w:rPr>
              <w:t>、</w:t>
            </w:r>
            <w:r>
              <w:rPr>
                <w:rFonts w:hint="eastAsia" w:ascii="宋体" w:hAnsi="宋体" w:cs="Arial"/>
                <w:bCs/>
                <w:sz w:val="24"/>
                <w:lang w:val="en-US" w:eastAsia="zh-CN"/>
              </w:rPr>
              <w:t>8.7</w:t>
            </w:r>
          </w:p>
        </w:tc>
        <w:tc>
          <w:tcPr>
            <w:tcW w:w="1585"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tcPr>
          <w:p>
            <w:pPr>
              <w:rPr>
                <w:sz w:val="24"/>
              </w:rPr>
            </w:pPr>
          </w:p>
        </w:tc>
        <w:tc>
          <w:tcPr>
            <w:tcW w:w="960" w:type="dxa"/>
          </w:tcPr>
          <w:p>
            <w:pPr>
              <w:rPr>
                <w:sz w:val="24"/>
              </w:rPr>
            </w:pPr>
          </w:p>
        </w:tc>
        <w:tc>
          <w:tcPr>
            <w:tcW w:w="10004" w:type="dxa"/>
          </w:tcPr>
          <w:p>
            <w:pPr>
              <w:pStyle w:val="11"/>
              <w:spacing w:line="340" w:lineRule="exact"/>
              <w:rPr>
                <w:rFonts w:ascii="宋体" w:hAnsi="宋体"/>
                <w:sz w:val="24"/>
              </w:rPr>
            </w:pPr>
            <w:r>
              <w:rPr>
                <w:rFonts w:hint="eastAsia" w:ascii="宋体" w:hAnsi="宋体"/>
                <w:color w:val="000000"/>
                <w:sz w:val="24"/>
              </w:rPr>
              <w:t>本</w:t>
            </w:r>
            <w:r>
              <w:rPr>
                <w:rFonts w:hint="eastAsia" w:ascii="宋体" w:hAnsi="宋体"/>
                <w:sz w:val="24"/>
              </w:rPr>
              <w:t>部门工作内容和职责，主要负责：</w:t>
            </w:r>
          </w:p>
          <w:p>
            <w:pPr>
              <w:pStyle w:val="11"/>
              <w:spacing w:line="340" w:lineRule="exact"/>
              <w:rPr>
                <w:sz w:val="24"/>
              </w:rPr>
            </w:pPr>
            <w:r>
              <w:rPr>
                <w:rFonts w:hint="eastAsia" w:ascii="宋体" w:hAnsi="宋体"/>
                <w:sz w:val="24"/>
                <w:lang w:val="en-US" w:eastAsia="zh-CN"/>
              </w:rPr>
              <w:t>全面主持生产部的工作、编制生产设备维护保养细则、全面执行设备维护保养及监督工作、编辑各类设备（工序）生产作业指导书、组织安排技术及生产人员培训考核，</w:t>
            </w:r>
            <w:r>
              <w:rPr>
                <w:rFonts w:hint="eastAsia" w:ascii="宋体" w:hAnsi="宋体"/>
                <w:color w:val="000000"/>
                <w:sz w:val="24"/>
                <w:lang w:val="en-US" w:eastAsia="zh-CN"/>
              </w:rPr>
              <w:t>协助维持体系的运行和持续改进等</w:t>
            </w:r>
            <w:r>
              <w:rPr>
                <w:rFonts w:hint="eastAsia" w:ascii="宋体" w:hAnsi="宋体"/>
                <w:color w:val="000000"/>
                <w:sz w:val="24"/>
              </w:rPr>
              <w:t>。</w:t>
            </w:r>
          </w:p>
        </w:tc>
        <w:tc>
          <w:tcPr>
            <w:tcW w:w="1585" w:type="dxa"/>
          </w:tcPr>
          <w:p>
            <w:pPr>
              <w:rPr>
                <w:rFonts w:hint="eastAsia" w:eastAsia="宋体"/>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3" w:hRule="atLeast"/>
        </w:trPr>
        <w:tc>
          <w:tcPr>
            <w:tcW w:w="2160" w:type="dxa"/>
          </w:tcPr>
          <w:p>
            <w:pPr>
              <w:rPr>
                <w:rFonts w:ascii="宋体" w:hAnsi="宋体"/>
                <w:szCs w:val="21"/>
              </w:rPr>
            </w:pPr>
            <w:r>
              <w:rPr>
                <w:rFonts w:hint="eastAsia" w:ascii="宋体" w:hAnsi="宋体"/>
                <w:szCs w:val="21"/>
              </w:rPr>
              <w:t>应对风险和机遇的措施</w:t>
            </w:r>
          </w:p>
        </w:tc>
        <w:tc>
          <w:tcPr>
            <w:tcW w:w="960" w:type="dxa"/>
          </w:tcPr>
          <w:p>
            <w:pPr>
              <w:rPr>
                <w:rFonts w:ascii="宋体" w:hAnsi="宋体"/>
                <w:szCs w:val="21"/>
              </w:rPr>
            </w:pPr>
            <w:r>
              <w:rPr>
                <w:rFonts w:ascii="宋体" w:hAnsi="宋体"/>
                <w:szCs w:val="21"/>
              </w:rPr>
              <w:t>Q</w:t>
            </w:r>
            <w:r>
              <w:rPr>
                <w:rFonts w:hint="eastAsia" w:ascii="宋体" w:hAnsi="宋体"/>
                <w:szCs w:val="21"/>
              </w:rPr>
              <w:t>6.</w:t>
            </w:r>
            <w:r>
              <w:rPr>
                <w:rFonts w:ascii="宋体" w:hAnsi="宋体"/>
                <w:szCs w:val="21"/>
              </w:rPr>
              <w:t>1</w:t>
            </w:r>
          </w:p>
        </w:tc>
        <w:tc>
          <w:tcPr>
            <w:tcW w:w="10004" w:type="dxa"/>
          </w:tcPr>
          <w:p>
            <w:pPr>
              <w:spacing w:line="340" w:lineRule="exact"/>
              <w:rPr>
                <w:rFonts w:ascii="宋体" w:hAnsi="宋体"/>
                <w:color w:val="auto"/>
                <w:sz w:val="24"/>
              </w:rPr>
            </w:pPr>
            <w:r>
              <w:rPr>
                <w:rFonts w:hint="eastAsia" w:ascii="宋体" w:hAnsi="宋体"/>
                <w:color w:val="auto"/>
                <w:sz w:val="24"/>
              </w:rPr>
              <w:t>公司在策划质量管理体系时，为确保质量管理体系能够实现其预期结果、增强有利影响避免或减少不利影响并实现改进，</w:t>
            </w:r>
            <w:r>
              <w:rPr>
                <w:rFonts w:hint="eastAsia"/>
                <w:color w:val="auto"/>
                <w:sz w:val="24"/>
              </w:rPr>
              <w:t>管理者代表考</w:t>
            </w:r>
            <w:r>
              <w:rPr>
                <w:rFonts w:hint="eastAsia" w:ascii="宋体" w:hAnsi="宋体"/>
                <w:color w:val="auto"/>
                <w:sz w:val="24"/>
              </w:rPr>
              <w:t>虑公司环境有关的外部和内部因素、相关方的需求和期望，通过推动SWOT分析方法来确定应对风险和机遇措施。</w:t>
            </w:r>
          </w:p>
          <w:p>
            <w:pPr>
              <w:spacing w:line="340" w:lineRule="exact"/>
              <w:rPr>
                <w:rFonts w:ascii="宋体" w:hAnsi="宋体"/>
                <w:color w:val="auto"/>
                <w:sz w:val="24"/>
              </w:rPr>
            </w:pPr>
            <w:r>
              <w:rPr>
                <w:rFonts w:hint="eastAsia" w:ascii="宋体" w:hAnsi="宋体"/>
                <w:color w:val="auto"/>
                <w:sz w:val="24"/>
              </w:rPr>
              <w:t>提供公司质量管理体</w:t>
            </w:r>
            <w:r>
              <w:rPr>
                <w:rFonts w:hint="eastAsia" w:ascii="宋体" w:hAnsi="宋体"/>
                <w:color w:val="auto"/>
                <w:sz w:val="24"/>
                <w:lang w:val="en-US" w:eastAsia="zh-CN"/>
              </w:rPr>
              <w:t>《过程风险与机遇评价与应对策划表》</w:t>
            </w:r>
            <w:r>
              <w:rPr>
                <w:rFonts w:hint="eastAsia" w:ascii="宋体" w:hAnsi="宋体"/>
                <w:color w:val="auto"/>
                <w:sz w:val="24"/>
              </w:rPr>
              <w:t>，对</w:t>
            </w:r>
            <w:r>
              <w:rPr>
                <w:rFonts w:hint="eastAsia" w:ascii="宋体" w:hAnsi="宋体"/>
                <w:color w:val="auto"/>
                <w:sz w:val="24"/>
                <w:lang w:val="en-US" w:eastAsia="zh-CN"/>
              </w:rPr>
              <w:t>人力资源控制</w:t>
            </w:r>
            <w:r>
              <w:rPr>
                <w:rFonts w:hint="eastAsia" w:ascii="宋体" w:hAnsi="宋体"/>
                <w:color w:val="auto"/>
                <w:sz w:val="24"/>
              </w:rPr>
              <w:t>、</w:t>
            </w:r>
            <w:r>
              <w:rPr>
                <w:rFonts w:hint="eastAsia" w:ascii="宋体" w:hAnsi="宋体"/>
                <w:color w:val="auto"/>
                <w:sz w:val="24"/>
                <w:lang w:val="en-US" w:eastAsia="zh-CN"/>
              </w:rPr>
              <w:t>检验过程</w:t>
            </w:r>
            <w:r>
              <w:rPr>
                <w:rFonts w:hint="eastAsia" w:ascii="宋体" w:hAnsi="宋体"/>
                <w:color w:val="auto"/>
                <w:sz w:val="24"/>
              </w:rPr>
              <w:t>、原材料的采购风险、生产过程风险、产品运输风险等进行了措施应对策划。</w:t>
            </w:r>
          </w:p>
          <w:p>
            <w:pPr>
              <w:spacing w:line="340" w:lineRule="exact"/>
              <w:rPr>
                <w:rFonts w:ascii="宋体" w:hAnsi="宋体"/>
                <w:color w:val="auto"/>
                <w:sz w:val="24"/>
              </w:rPr>
            </w:pPr>
            <w:r>
              <w:rPr>
                <w:rFonts w:hint="eastAsia" w:ascii="宋体" w:hAnsi="宋体"/>
                <w:color w:val="auto"/>
                <w:sz w:val="24"/>
              </w:rPr>
              <w:t>如：设备工装管理过程，</w:t>
            </w:r>
            <w:r>
              <w:rPr>
                <w:rFonts w:hint="eastAsia" w:ascii="宋体" w:hAnsi="宋体"/>
                <w:color w:val="auto"/>
                <w:sz w:val="24"/>
                <w:lang w:val="en-US" w:eastAsia="zh-CN"/>
              </w:rPr>
              <w:t>设备损坏功能不全</w:t>
            </w:r>
            <w:r>
              <w:rPr>
                <w:rFonts w:hint="eastAsia" w:ascii="宋体" w:hAnsi="宋体"/>
                <w:color w:val="auto"/>
                <w:sz w:val="24"/>
              </w:rPr>
              <w:t>--不良品率高、影响交货期--建立日常保养制度、定期保养计划</w:t>
            </w:r>
            <w:r>
              <w:rPr>
                <w:rFonts w:hint="eastAsia" w:ascii="宋体" w:hAnsi="宋体"/>
                <w:color w:val="auto"/>
                <w:sz w:val="24"/>
                <w:lang w:val="en-US" w:eastAsia="zh-CN"/>
              </w:rPr>
              <w:t>及配备备品备件</w:t>
            </w:r>
            <w:r>
              <w:rPr>
                <w:rFonts w:hint="eastAsia" w:ascii="宋体" w:hAnsi="宋体"/>
                <w:color w:val="auto"/>
                <w:sz w:val="24"/>
              </w:rPr>
              <w:t>--制定相应管理制度--</w:t>
            </w:r>
            <w:r>
              <w:rPr>
                <w:rFonts w:hint="eastAsia" w:ascii="宋体" w:hAnsi="宋体"/>
                <w:color w:val="auto"/>
                <w:sz w:val="24"/>
                <w:lang w:val="en-US" w:eastAsia="zh-CN"/>
              </w:rPr>
              <w:t>定期对设备进行点检</w:t>
            </w:r>
            <w:r>
              <w:rPr>
                <w:rFonts w:hint="eastAsia" w:ascii="宋体" w:hAnsi="宋体"/>
                <w:color w:val="auto"/>
                <w:sz w:val="24"/>
              </w:rPr>
              <w:t>等</w:t>
            </w:r>
          </w:p>
          <w:p>
            <w:pPr>
              <w:rPr>
                <w:sz w:val="24"/>
              </w:rPr>
            </w:pPr>
            <w:r>
              <w:rPr>
                <w:rFonts w:hint="eastAsia" w:ascii="宋体" w:hAnsi="宋体"/>
                <w:color w:val="auto"/>
                <w:sz w:val="24"/>
              </w:rPr>
              <w:t>通过制定相应管理制度，在质量管理体系过程中整合并实施这些措施,通过内审和生产调度会等方式评价这些措施的有效性。并保持应对风险和机遇的措施与其对产品和服务符合性的潜在影响相适应。</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2160" w:type="dxa"/>
          </w:tcPr>
          <w:p>
            <w:pPr>
              <w:rPr>
                <w:rFonts w:ascii="宋体" w:hAnsi="宋体"/>
                <w:szCs w:val="21"/>
              </w:rPr>
            </w:pPr>
            <w:r>
              <w:rPr>
                <w:rFonts w:hint="eastAsia" w:ascii="宋体" w:hAnsi="宋体"/>
                <w:szCs w:val="21"/>
              </w:rPr>
              <w:t>目标完成情况</w:t>
            </w:r>
          </w:p>
        </w:tc>
        <w:tc>
          <w:tcPr>
            <w:tcW w:w="960" w:type="dxa"/>
          </w:tcPr>
          <w:p>
            <w:pPr>
              <w:rPr>
                <w:rFonts w:ascii="宋体" w:hAnsi="宋体"/>
                <w:szCs w:val="21"/>
              </w:rPr>
            </w:pPr>
            <w:r>
              <w:rPr>
                <w:rFonts w:ascii="宋体" w:hAnsi="宋体"/>
                <w:szCs w:val="21"/>
              </w:rPr>
              <w:t>Q</w:t>
            </w:r>
            <w:r>
              <w:rPr>
                <w:rFonts w:hint="eastAsia" w:ascii="宋体" w:hAnsi="宋体"/>
                <w:szCs w:val="21"/>
              </w:rPr>
              <w:t>6.</w:t>
            </w:r>
            <w:r>
              <w:rPr>
                <w:rFonts w:ascii="宋体" w:hAnsi="宋体"/>
                <w:szCs w:val="21"/>
              </w:rPr>
              <w:t>2</w:t>
            </w:r>
          </w:p>
        </w:tc>
        <w:tc>
          <w:tcPr>
            <w:tcW w:w="10004" w:type="dxa"/>
          </w:tcPr>
          <w:p>
            <w:pPr>
              <w:rPr>
                <w:rFonts w:hint="eastAsia" w:ascii="宋体" w:hAnsi="宋体"/>
                <w:sz w:val="24"/>
                <w:lang w:eastAsia="zh-CN"/>
              </w:rPr>
            </w:pPr>
            <w:r>
              <w:rPr>
                <w:rFonts w:hint="eastAsia" w:ascii="宋体" w:hAnsi="宋体"/>
                <w:sz w:val="24"/>
              </w:rPr>
              <w:t>目标完成情况：</w:t>
            </w:r>
            <w:r>
              <w:rPr>
                <w:rFonts w:hint="eastAsia" w:ascii="宋体" w:hAnsi="宋体"/>
                <w:sz w:val="24"/>
                <w:lang w:val="en-US" w:eastAsia="zh-CN"/>
              </w:rPr>
              <w:t>查看《质量目标分解规定》，查看统计周期：2020.1.1-2020.12.30质量目标完成情况：生产任务完成率100</w:t>
            </w:r>
            <w:r>
              <w:rPr>
                <w:rFonts w:hint="eastAsia" w:ascii="宋体" w:hAnsi="宋体"/>
                <w:sz w:val="24"/>
              </w:rPr>
              <w:t>%，达标；</w:t>
            </w:r>
            <w:r>
              <w:rPr>
                <w:rFonts w:hint="eastAsia" w:ascii="宋体" w:hAnsi="宋体"/>
                <w:sz w:val="24"/>
                <w:lang w:val="en-US" w:eastAsia="zh-CN"/>
              </w:rPr>
              <w:t>生产产品检验合格率达到98%以上</w:t>
            </w:r>
            <w:r>
              <w:rPr>
                <w:rFonts w:hint="eastAsia" w:ascii="宋体" w:hAnsi="宋体"/>
                <w:sz w:val="24"/>
              </w:rPr>
              <w:t>，达标。本部门的目标已完成。</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2160" w:type="dxa"/>
          </w:tcPr>
          <w:p>
            <w:pPr>
              <w:rPr>
                <w:rFonts w:hint="default" w:ascii="宋体" w:hAnsi="宋体" w:eastAsia="宋体"/>
                <w:szCs w:val="21"/>
                <w:lang w:val="en-US" w:eastAsia="zh-CN"/>
              </w:rPr>
            </w:pPr>
            <w:r>
              <w:rPr>
                <w:rFonts w:hint="eastAsia" w:ascii="宋体" w:hAnsi="宋体"/>
                <w:szCs w:val="21"/>
                <w:lang w:val="en-US" w:eastAsia="zh-CN"/>
              </w:rPr>
              <w:t>基础设施</w:t>
            </w:r>
          </w:p>
        </w:tc>
        <w:tc>
          <w:tcPr>
            <w:tcW w:w="960" w:type="dxa"/>
          </w:tcPr>
          <w:p>
            <w:pPr>
              <w:spacing w:before="120" w:line="340" w:lineRule="exact"/>
              <w:rPr>
                <w:rFonts w:ascii="宋体" w:hAnsi="宋体"/>
                <w:szCs w:val="21"/>
              </w:rPr>
            </w:pPr>
            <w:r>
              <w:rPr>
                <w:rFonts w:ascii="宋体" w:hAnsi="宋体"/>
                <w:szCs w:val="21"/>
              </w:rPr>
              <w:t>Q</w:t>
            </w:r>
            <w:r>
              <w:rPr>
                <w:rFonts w:hint="eastAsia" w:ascii="宋体" w:hAnsi="宋体"/>
                <w:szCs w:val="21"/>
              </w:rPr>
              <w:t>7.1.</w:t>
            </w:r>
            <w:r>
              <w:rPr>
                <w:rFonts w:hint="eastAsia" w:ascii="宋体" w:hAnsi="宋体"/>
                <w:szCs w:val="21"/>
                <w:lang w:val="en-US" w:eastAsia="zh-CN"/>
              </w:rPr>
              <w:t>3</w:t>
            </w:r>
          </w:p>
        </w:tc>
        <w:tc>
          <w:tcPr>
            <w:tcW w:w="10004" w:type="dxa"/>
          </w:tcPr>
          <w:p>
            <w:pPr>
              <w:pStyle w:val="11"/>
              <w:spacing w:line="340" w:lineRule="exact"/>
              <w:rPr>
                <w:rFonts w:hint="default" w:ascii="宋体" w:hAnsi="宋体"/>
                <w:sz w:val="24"/>
                <w:lang w:val="en-US" w:eastAsia="zh-CN"/>
              </w:rPr>
            </w:pPr>
            <w:r>
              <w:rPr>
                <w:rFonts w:hint="eastAsia" w:ascii="宋体" w:hAnsi="宋体"/>
                <w:sz w:val="24"/>
                <w:lang w:val="en-US" w:eastAsia="zh-CN"/>
              </w:rPr>
              <w:t>编辑了《基础设施控制程序》，明确了设备设施的配置、使用、维护、维修管理。提供《生产设备台账》主要设备有</w:t>
            </w:r>
            <w:r>
              <w:rPr>
                <w:rFonts w:hint="eastAsia" w:ascii="宋体" w:hAnsi="宋体" w:cs="宋体"/>
                <w:sz w:val="24"/>
                <w:lang w:val="en-US" w:eastAsia="zh-CN"/>
              </w:rPr>
              <w:t>数控机床</w:t>
            </w:r>
            <w:r>
              <w:rPr>
                <w:rFonts w:hint="eastAsia" w:ascii="宋体" w:hAnsi="宋体"/>
                <w:sz w:val="24"/>
                <w:lang w:val="en-US" w:eastAsia="zh-CN"/>
              </w:rPr>
              <w:t>、</w:t>
            </w:r>
            <w:r>
              <w:rPr>
                <w:rFonts w:hint="eastAsia" w:ascii="宋体" w:hAnsi="宋体" w:cs="宋体"/>
                <w:sz w:val="24"/>
                <w:lang w:val="en-US" w:eastAsia="zh-CN"/>
              </w:rPr>
              <w:t>剪板机</w:t>
            </w:r>
            <w:r>
              <w:rPr>
                <w:rFonts w:hint="eastAsia" w:ascii="宋体" w:hAnsi="宋体"/>
                <w:sz w:val="24"/>
                <w:lang w:val="en-US" w:eastAsia="zh-CN"/>
              </w:rPr>
              <w:t>、</w:t>
            </w:r>
            <w:r>
              <w:rPr>
                <w:rFonts w:hint="eastAsia" w:ascii="宋体" w:hAnsi="宋体" w:cs="宋体"/>
                <w:sz w:val="24"/>
                <w:lang w:val="en-US" w:eastAsia="zh-CN"/>
              </w:rPr>
              <w:t>折弯机</w:t>
            </w:r>
            <w:r>
              <w:rPr>
                <w:rFonts w:hint="eastAsia" w:ascii="宋体" w:hAnsi="宋体"/>
                <w:sz w:val="24"/>
                <w:lang w:val="en-US" w:eastAsia="zh-CN"/>
              </w:rPr>
              <w:t>、</w:t>
            </w:r>
            <w:r>
              <w:rPr>
                <w:rFonts w:hint="eastAsia" w:ascii="宋体" w:hAnsi="宋体" w:cs="宋体"/>
                <w:sz w:val="24"/>
                <w:lang w:val="en-US" w:eastAsia="zh-CN"/>
              </w:rPr>
              <w:t>激光切割机</w:t>
            </w:r>
            <w:r>
              <w:rPr>
                <w:rFonts w:hint="eastAsia" w:ascii="宋体" w:hAnsi="宋体"/>
                <w:sz w:val="24"/>
                <w:lang w:val="en-US" w:eastAsia="zh-CN"/>
              </w:rPr>
              <w:t>、氩弧焊机、</w:t>
            </w:r>
            <w:r>
              <w:rPr>
                <w:rFonts w:hint="eastAsia" w:ascii="宋体" w:hAnsi="宋体" w:cs="宋体"/>
                <w:sz w:val="24"/>
                <w:lang w:val="en-US" w:eastAsia="zh-CN"/>
              </w:rPr>
              <w:t>二氧化碳气体保护焊机</w:t>
            </w:r>
            <w:r>
              <w:rPr>
                <w:rFonts w:hint="eastAsia" w:ascii="宋体" w:hAnsi="宋体"/>
                <w:sz w:val="24"/>
                <w:lang w:val="en-US" w:eastAsia="zh-CN"/>
              </w:rPr>
              <w:t>、双立卧式锯床、行车10T，同时配备了用于测量的游标卡尺、卷尺、角度尺等。设备能力基本满足要求。查《设备保养记录》：保养日期2020年11月15日，保养内容：调整平衡阀、更换严重磨损零件等，记录完整，覆盖设备全面。</w:t>
            </w:r>
          </w:p>
          <w:p>
            <w:pPr>
              <w:pStyle w:val="11"/>
              <w:spacing w:line="340" w:lineRule="exact"/>
              <w:rPr>
                <w:rFonts w:hint="eastAsia" w:ascii="宋体" w:hAnsi="宋体"/>
                <w:sz w:val="24"/>
                <w:vertAlign w:val="baseline"/>
                <w:lang w:val="en-US" w:eastAsia="zh-CN"/>
              </w:rPr>
            </w:pPr>
            <w:r>
              <w:rPr>
                <w:rFonts w:hint="eastAsia" w:ascii="宋体" w:hAnsi="宋体"/>
                <w:sz w:val="24"/>
                <w:lang w:val="en-US" w:eastAsia="zh-CN"/>
              </w:rPr>
              <w:t>提供生产办公场所1000m</w:t>
            </w:r>
            <w:r>
              <w:rPr>
                <w:rFonts w:hint="eastAsia" w:ascii="宋体" w:hAnsi="宋体"/>
                <w:sz w:val="24"/>
                <w:vertAlign w:val="superscript"/>
                <w:lang w:val="en-US" w:eastAsia="zh-CN"/>
              </w:rPr>
              <w:t>2</w:t>
            </w:r>
            <w:r>
              <w:rPr>
                <w:rFonts w:hint="eastAsia" w:ascii="宋体" w:hAnsi="宋体"/>
                <w:sz w:val="24"/>
                <w:vertAlign w:val="baseline"/>
                <w:lang w:val="en-US" w:eastAsia="zh-CN"/>
              </w:rPr>
              <w:t>,外出办公用车等。</w:t>
            </w:r>
          </w:p>
          <w:p>
            <w:pPr>
              <w:pStyle w:val="11"/>
              <w:spacing w:line="340" w:lineRule="exact"/>
              <w:rPr>
                <w:rFonts w:hint="default" w:ascii="宋体" w:hAnsi="宋体"/>
                <w:sz w:val="24"/>
                <w:lang w:val="en-US"/>
              </w:rPr>
            </w:pPr>
            <w:r>
              <w:rPr>
                <w:rFonts w:hint="eastAsia" w:ascii="宋体" w:hAnsi="宋体"/>
                <w:sz w:val="24"/>
                <w:lang w:val="en-US" w:eastAsia="zh-CN"/>
              </w:rPr>
              <w:t>查看行车检定报告编号：BQS4170-1911-1E00261，设备代码：4170410652016C688，下此检验日期：2021年11月21号。</w:t>
            </w:r>
          </w:p>
        </w:tc>
        <w:tc>
          <w:tcPr>
            <w:tcW w:w="1585" w:type="dxa"/>
          </w:tcPr>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160" w:type="dxa"/>
          </w:tcPr>
          <w:p>
            <w:pPr>
              <w:rPr>
                <w:rFonts w:hint="default" w:ascii="宋体" w:hAnsi="宋体" w:eastAsia="宋体"/>
                <w:szCs w:val="21"/>
                <w:lang w:val="en-US" w:eastAsia="zh-CN"/>
              </w:rPr>
            </w:pPr>
            <w:r>
              <w:rPr>
                <w:rFonts w:hint="eastAsia" w:ascii="宋体" w:hAnsi="宋体"/>
                <w:szCs w:val="21"/>
                <w:lang w:val="en-US" w:eastAsia="zh-CN"/>
              </w:rPr>
              <w:t>过程运行环境</w:t>
            </w:r>
          </w:p>
        </w:tc>
        <w:tc>
          <w:tcPr>
            <w:tcW w:w="960" w:type="dxa"/>
          </w:tcPr>
          <w:p>
            <w:pPr>
              <w:spacing w:before="120" w:line="340" w:lineRule="exact"/>
              <w:rPr>
                <w:rFonts w:hint="eastAsia" w:ascii="宋体" w:hAnsi="宋体"/>
                <w:szCs w:val="21"/>
              </w:rPr>
            </w:pPr>
            <w:r>
              <w:rPr>
                <w:rFonts w:hint="eastAsia" w:ascii="宋体" w:hAnsi="宋体"/>
                <w:szCs w:val="21"/>
              </w:rPr>
              <w:t>Q</w:t>
            </w:r>
            <w:r>
              <w:rPr>
                <w:rFonts w:ascii="宋体" w:hAnsi="宋体"/>
                <w:szCs w:val="21"/>
              </w:rPr>
              <w:t>7.</w:t>
            </w:r>
            <w:r>
              <w:rPr>
                <w:rFonts w:hint="eastAsia" w:ascii="宋体" w:hAnsi="宋体"/>
                <w:szCs w:val="21"/>
                <w:lang w:val="en-US" w:eastAsia="zh-CN"/>
              </w:rPr>
              <w:t>1.</w:t>
            </w:r>
            <w:r>
              <w:rPr>
                <w:rFonts w:ascii="宋体" w:hAnsi="宋体"/>
                <w:szCs w:val="21"/>
              </w:rPr>
              <w:t>4</w:t>
            </w:r>
          </w:p>
        </w:tc>
        <w:tc>
          <w:tcPr>
            <w:tcW w:w="10004" w:type="dxa"/>
          </w:tcPr>
          <w:p>
            <w:pPr>
              <w:spacing w:before="120" w:line="340" w:lineRule="exact"/>
              <w:rPr>
                <w:rFonts w:hint="eastAsia" w:ascii="宋体" w:hAnsi="宋体"/>
                <w:sz w:val="24"/>
              </w:rPr>
            </w:pPr>
            <w:r>
              <w:rPr>
                <w:rFonts w:hint="eastAsia" w:ascii="宋体" w:hAnsi="宋体" w:eastAsia="宋体" w:cs="Times New Roman"/>
                <w:kern w:val="2"/>
                <w:sz w:val="24"/>
                <w:szCs w:val="24"/>
                <w:lang w:val="en-US" w:eastAsia="zh-CN" w:bidi="ar-SA"/>
              </w:rPr>
              <w:t>公司编辑了《过程运行环境控制程序》，为实现产品和服务符合性的现场环境进行管理和控制。确定设备设施定置定位，工作环境严格执行6S要求。提供适宜的工作环境（办公室备有空调），经交谈了解公司提供工作服、高温补贴等。</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160" w:type="dxa"/>
          </w:tcPr>
          <w:p>
            <w:pPr>
              <w:rPr>
                <w:rFonts w:ascii="宋体" w:hAnsi="宋体"/>
                <w:szCs w:val="21"/>
              </w:rPr>
            </w:pPr>
            <w:r>
              <w:rPr>
                <w:rFonts w:hint="eastAsia" w:ascii="宋体" w:hAnsi="宋体"/>
                <w:szCs w:val="21"/>
              </w:rPr>
              <w:t>沟通</w:t>
            </w:r>
          </w:p>
        </w:tc>
        <w:tc>
          <w:tcPr>
            <w:tcW w:w="960" w:type="dxa"/>
          </w:tcPr>
          <w:p>
            <w:pPr>
              <w:spacing w:before="120" w:line="340" w:lineRule="exact"/>
              <w:rPr>
                <w:rFonts w:ascii="宋体" w:hAnsi="宋体"/>
                <w:szCs w:val="21"/>
              </w:rPr>
            </w:pPr>
            <w:r>
              <w:rPr>
                <w:rFonts w:hint="eastAsia" w:ascii="宋体" w:hAnsi="宋体"/>
                <w:szCs w:val="21"/>
              </w:rPr>
              <w:t>Q</w:t>
            </w:r>
            <w:r>
              <w:rPr>
                <w:rFonts w:ascii="宋体" w:hAnsi="宋体"/>
                <w:szCs w:val="21"/>
              </w:rPr>
              <w:t>7.4</w:t>
            </w:r>
          </w:p>
        </w:tc>
        <w:tc>
          <w:tcPr>
            <w:tcW w:w="10004" w:type="dxa"/>
          </w:tcPr>
          <w:p>
            <w:pPr>
              <w:spacing w:line="340" w:lineRule="exact"/>
              <w:rPr>
                <w:rFonts w:ascii="宋体" w:hAnsi="宋体"/>
                <w:sz w:val="24"/>
              </w:rPr>
            </w:pPr>
            <w:r>
              <w:rPr>
                <w:rFonts w:hint="eastAsia" w:ascii="宋体" w:hAnsi="宋体"/>
                <w:sz w:val="24"/>
                <w:lang w:val="en-US" w:eastAsia="zh-CN"/>
              </w:rPr>
              <w:t>编辑了《沟通控制程序》，</w:t>
            </w:r>
            <w:r>
              <w:rPr>
                <w:rFonts w:hint="eastAsia" w:ascii="宋体" w:hAnsi="宋体"/>
                <w:sz w:val="24"/>
              </w:rPr>
              <w:t>公司目前内部沟通过程安排实施如下：</w:t>
            </w:r>
          </w:p>
          <w:p>
            <w:pPr>
              <w:spacing w:line="340" w:lineRule="exact"/>
              <w:rPr>
                <w:rFonts w:ascii="宋体" w:hAnsi="宋体"/>
                <w:sz w:val="24"/>
              </w:rPr>
            </w:pPr>
            <w:r>
              <w:rPr>
                <w:rFonts w:hint="eastAsia" w:ascii="宋体" w:hAnsi="宋体"/>
                <w:sz w:val="24"/>
              </w:rPr>
              <w:t>1．</w:t>
            </w:r>
            <w:r>
              <w:rPr>
                <w:rFonts w:hint="eastAsia" w:ascii="宋体" w:hAnsi="宋体"/>
                <w:sz w:val="24"/>
                <w:lang w:val="en-US" w:eastAsia="zh-CN"/>
              </w:rPr>
              <w:t>公司主要通过综合分析会议、部门协调会</w:t>
            </w:r>
            <w:r>
              <w:rPr>
                <w:rFonts w:hint="eastAsia" w:ascii="宋体" w:hAnsi="宋体"/>
                <w:sz w:val="24"/>
              </w:rPr>
              <w:t>，对顾客要求、产品质量、生产进度、体系运行情况等内容进行沟通交流，且对次月的工作安排提出要求；</w:t>
            </w:r>
          </w:p>
          <w:p>
            <w:pPr>
              <w:spacing w:line="340" w:lineRule="exact"/>
              <w:rPr>
                <w:rFonts w:ascii="宋体" w:hAnsi="宋体"/>
                <w:sz w:val="24"/>
              </w:rPr>
            </w:pPr>
            <w:r>
              <w:rPr>
                <w:rFonts w:hint="eastAsia" w:ascii="宋体" w:hAnsi="宋体"/>
                <w:sz w:val="24"/>
              </w:rPr>
              <w:t>2．各部门自行召开工作会议</w:t>
            </w:r>
            <w:r>
              <w:rPr>
                <w:rFonts w:hint="eastAsia" w:ascii="宋体" w:hAnsi="宋体"/>
                <w:sz w:val="24"/>
                <w:lang w:val="en-US" w:eastAsia="zh-CN"/>
              </w:rPr>
              <w:t>讨论交流</w:t>
            </w:r>
            <w:r>
              <w:rPr>
                <w:rFonts w:hint="eastAsia" w:ascii="宋体" w:hAnsi="宋体"/>
                <w:sz w:val="24"/>
              </w:rPr>
              <w:t>，实现部门内的信息交流；</w:t>
            </w:r>
          </w:p>
          <w:p>
            <w:pPr>
              <w:pStyle w:val="11"/>
              <w:spacing w:line="340" w:lineRule="exact"/>
              <w:rPr>
                <w:rFonts w:hint="default" w:ascii="宋体" w:hAnsi="宋体" w:eastAsia="宋体"/>
                <w:sz w:val="24"/>
                <w:lang w:val="en-US" w:eastAsia="zh-CN"/>
              </w:rPr>
            </w:pPr>
            <w:r>
              <w:rPr>
                <w:rFonts w:hint="eastAsia" w:ascii="宋体" w:hAnsi="宋体"/>
                <w:sz w:val="24"/>
              </w:rPr>
              <w:t>3．</w:t>
            </w:r>
            <w:r>
              <w:rPr>
                <w:rFonts w:hint="eastAsia" w:ascii="宋体" w:hAnsi="宋体"/>
                <w:sz w:val="24"/>
                <w:lang w:val="en-US" w:eastAsia="zh-CN"/>
              </w:rPr>
              <w:t>公司自上而下</w:t>
            </w:r>
            <w:r>
              <w:rPr>
                <w:rFonts w:hint="eastAsia" w:ascii="宋体" w:hAnsi="宋体"/>
                <w:sz w:val="24"/>
              </w:rPr>
              <w:t>通过</w:t>
            </w:r>
            <w:r>
              <w:rPr>
                <w:rFonts w:hint="eastAsia" w:ascii="宋体" w:hAnsi="宋体"/>
                <w:sz w:val="24"/>
                <w:lang w:val="en-US" w:eastAsia="zh-CN"/>
              </w:rPr>
              <w:t>书面资料、会议</w:t>
            </w:r>
            <w:r>
              <w:rPr>
                <w:rFonts w:hint="eastAsia" w:ascii="宋体" w:hAnsi="宋体"/>
                <w:sz w:val="24"/>
                <w:lang w:eastAsia="zh-CN"/>
              </w:rPr>
              <w:t>、</w:t>
            </w:r>
            <w:r>
              <w:rPr>
                <w:rFonts w:hint="eastAsia" w:ascii="宋体" w:hAnsi="宋体"/>
                <w:sz w:val="24"/>
                <w:lang w:val="en-US" w:eastAsia="zh-CN"/>
              </w:rPr>
              <w:t>通知、电话、网络、公告、发文、培训、质量记录</w:t>
            </w:r>
            <w:r>
              <w:rPr>
                <w:rFonts w:hint="eastAsia" w:ascii="宋体" w:hAnsi="宋体"/>
                <w:sz w:val="24"/>
              </w:rPr>
              <w:t>等，实现部门间的信息交流。</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ascii="宋体" w:hAnsi="宋体" w:eastAsia="宋体"/>
                <w:szCs w:val="21"/>
                <w:lang w:val="en-US" w:eastAsia="zh-CN"/>
              </w:rPr>
            </w:pPr>
            <w:r>
              <w:rPr>
                <w:rFonts w:hint="eastAsia" w:ascii="宋体" w:hAnsi="宋体"/>
                <w:szCs w:val="21"/>
                <w:lang w:val="en-US" w:eastAsia="zh-CN"/>
              </w:rPr>
              <w:t>运行的策划和控制</w:t>
            </w:r>
          </w:p>
        </w:tc>
        <w:tc>
          <w:tcPr>
            <w:tcW w:w="960" w:type="dxa"/>
          </w:tcPr>
          <w:p>
            <w:pPr>
              <w:spacing w:before="120" w:line="340" w:lineRule="exact"/>
              <w:rPr>
                <w:rFonts w:hint="default" w:ascii="宋体" w:hAnsi="宋体" w:eastAsia="宋体"/>
                <w:szCs w:val="21"/>
                <w:lang w:val="en-US" w:eastAsia="zh-CN"/>
              </w:rPr>
            </w:pPr>
            <w:r>
              <w:rPr>
                <w:rFonts w:hint="eastAsia" w:ascii="宋体" w:hAnsi="宋体"/>
                <w:szCs w:val="21"/>
                <w:lang w:val="en-US" w:eastAsia="zh-CN"/>
              </w:rPr>
              <w:t>Q8.1</w:t>
            </w:r>
          </w:p>
        </w:tc>
        <w:tc>
          <w:tcPr>
            <w:tcW w:w="10004" w:type="dxa"/>
          </w:tcPr>
          <w:p>
            <w:pPr>
              <w:spacing w:line="340" w:lineRule="exact"/>
              <w:rPr>
                <w:rFonts w:hint="eastAsia" w:ascii="宋体" w:hAnsi="宋体"/>
                <w:color w:val="FF0000"/>
                <w:sz w:val="24"/>
              </w:rPr>
            </w:pPr>
            <w:r>
              <w:rPr>
                <w:rFonts w:hint="eastAsia" w:ascii="宋体" w:hAnsi="宋体"/>
                <w:sz w:val="24"/>
              </w:rPr>
              <w:t>公司编制有产品实现的策划程序</w:t>
            </w:r>
            <w:r>
              <w:rPr>
                <w:rFonts w:hint="eastAsia" w:ascii="宋体" w:hAnsi="宋体"/>
                <w:sz w:val="24"/>
                <w:lang w:eastAsia="zh-CN"/>
              </w:rPr>
              <w:t>《</w:t>
            </w:r>
            <w:r>
              <w:rPr>
                <w:rFonts w:hint="eastAsia" w:ascii="宋体" w:hAnsi="宋体"/>
                <w:sz w:val="24"/>
                <w:lang w:val="en-US" w:eastAsia="zh-CN"/>
              </w:rPr>
              <w:t>生产和服务运作控制程序</w:t>
            </w:r>
            <w:r>
              <w:rPr>
                <w:rFonts w:hint="eastAsia" w:ascii="宋体" w:hAnsi="宋体"/>
                <w:sz w:val="24"/>
                <w:lang w:eastAsia="zh-CN"/>
              </w:rPr>
              <w:t>》，</w:t>
            </w:r>
            <w:r>
              <w:rPr>
                <w:rFonts w:hint="eastAsia" w:ascii="宋体" w:hAnsi="宋体"/>
                <w:sz w:val="24"/>
                <w:lang w:val="en-US" w:eastAsia="zh-CN"/>
              </w:rPr>
              <w:t>确保非标自动化设备生产，</w:t>
            </w:r>
            <w:r>
              <w:rPr>
                <w:rFonts w:hint="eastAsia" w:ascii="宋体" w:hAnsi="宋体"/>
                <w:sz w:val="24"/>
              </w:rPr>
              <w:t>产品满足相关标准的要求和顾客的要求</w:t>
            </w:r>
            <w:r>
              <w:rPr>
                <w:rFonts w:hint="eastAsia" w:ascii="宋体" w:hAnsi="宋体"/>
                <w:sz w:val="24"/>
                <w:lang w:eastAsia="zh-CN"/>
              </w:rPr>
              <w:t>，</w:t>
            </w:r>
            <w:r>
              <w:rPr>
                <w:rFonts w:hint="eastAsia" w:ascii="宋体" w:hAnsi="宋体"/>
                <w:sz w:val="24"/>
              </w:rPr>
              <w:t>对产品、过程或合同规定</w:t>
            </w:r>
            <w:r>
              <w:rPr>
                <w:rFonts w:hint="eastAsia" w:ascii="宋体" w:hAnsi="宋体"/>
                <w:sz w:val="24"/>
                <w:lang w:val="en-US" w:eastAsia="zh-CN"/>
              </w:rPr>
              <w:t>制定</w:t>
            </w:r>
            <w:r>
              <w:rPr>
                <w:rFonts w:hint="eastAsia" w:ascii="宋体" w:hAnsi="宋体"/>
                <w:sz w:val="24"/>
              </w:rPr>
              <w:t>专门的质量措施、资源和活动顺序，以确保满足规定要求，</w:t>
            </w:r>
            <w:r>
              <w:rPr>
                <w:rFonts w:hint="eastAsia" w:ascii="宋体" w:hAnsi="宋体"/>
                <w:sz w:val="24"/>
                <w:lang w:val="en-US" w:eastAsia="zh-CN"/>
              </w:rPr>
              <w:t>依据</w:t>
            </w:r>
            <w:r>
              <w:rPr>
                <w:rFonts w:hint="eastAsia" w:ascii="宋体" w:hAnsi="宋体"/>
                <w:sz w:val="24"/>
              </w:rPr>
              <w:t>产品的质量目标和要求，确定了产品的生产工艺流程，关键过程,编制了相关的工艺文件，作业指导书，检验规范。</w:t>
            </w:r>
          </w:p>
          <w:p>
            <w:pPr>
              <w:spacing w:line="340" w:lineRule="exact"/>
              <w:rPr>
                <w:rFonts w:hint="eastAsia" w:ascii="宋体" w:hAnsi="宋体"/>
                <w:sz w:val="24"/>
                <w:lang w:eastAsia="zh-CN"/>
              </w:rPr>
            </w:pPr>
          </w:p>
          <w:p>
            <w:p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非标自动化设备生产工艺流程：</w:t>
            </w:r>
          </w:p>
          <w:p>
            <w:pPr>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下料</w:t>
            </w: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折弯</w:t>
            </w: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焊接</w:t>
            </w: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表面处理（外包）</w:t>
            </w: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包装</w:t>
            </w: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发出</w:t>
            </w:r>
          </w:p>
          <w:p>
            <w:pP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产品生产过程</w:t>
            </w:r>
            <w:r>
              <w:rPr>
                <w:rFonts w:hint="eastAsia" w:ascii="宋体" w:hAnsi="宋体" w:cs="Times New Roman"/>
                <w:kern w:val="2"/>
                <w:sz w:val="24"/>
                <w:szCs w:val="24"/>
                <w:lang w:val="en-US" w:eastAsia="zh-CN" w:bidi="ar-SA"/>
              </w:rPr>
              <w:t>焊接</w:t>
            </w:r>
            <w:r>
              <w:rPr>
                <w:rFonts w:hint="eastAsia" w:ascii="宋体" w:hAnsi="宋体" w:eastAsia="宋体" w:cs="Times New Roman"/>
                <w:kern w:val="2"/>
                <w:sz w:val="24"/>
                <w:szCs w:val="24"/>
                <w:lang w:val="en-US" w:eastAsia="zh-CN" w:bidi="ar-SA"/>
              </w:rPr>
              <w:t>为关键过程</w:t>
            </w:r>
            <w:r>
              <w:rPr>
                <w:rFonts w:hint="eastAsia" w:ascii="宋体" w:hAnsi="宋体" w:cs="Times New Roman"/>
                <w:kern w:val="2"/>
                <w:sz w:val="24"/>
                <w:szCs w:val="24"/>
                <w:lang w:val="en-US" w:eastAsia="zh-CN" w:bidi="ar-SA"/>
              </w:rPr>
              <w:t>，在焊接完成后，由公司员工对产品进行打磨。</w:t>
            </w:r>
          </w:p>
          <w:p>
            <w:pPr>
              <w:rPr>
                <w:rFonts w:hint="default" w:ascii="宋体" w:hAnsi="宋体"/>
                <w:sz w:val="24"/>
                <w:lang w:val="en-US" w:eastAsia="zh-CN"/>
              </w:rPr>
            </w:pPr>
            <w:r>
              <w:rPr>
                <w:rFonts w:hint="eastAsia" w:ascii="宋体" w:hAnsi="宋体" w:eastAsia="宋体" w:cs="Times New Roman"/>
                <w:kern w:val="2"/>
                <w:sz w:val="24"/>
                <w:szCs w:val="24"/>
                <w:lang w:val="en-US" w:eastAsia="zh-CN" w:bidi="ar-SA"/>
              </w:rPr>
              <w:t>关键过程的操作规程由生产部下发，关键过程的操作人员由</w:t>
            </w:r>
            <w:r>
              <w:rPr>
                <w:rFonts w:hint="eastAsia" w:ascii="宋体" w:hAnsi="宋体" w:cs="Times New Roman"/>
                <w:kern w:val="2"/>
                <w:sz w:val="24"/>
                <w:szCs w:val="24"/>
                <w:lang w:val="en-US" w:eastAsia="zh-CN" w:bidi="ar-SA"/>
              </w:rPr>
              <w:t>甘珍平</w:t>
            </w:r>
            <w:r>
              <w:rPr>
                <w:rFonts w:hint="eastAsia" w:ascii="宋体" w:hAnsi="宋体" w:eastAsia="宋体" w:cs="Times New Roman"/>
                <w:kern w:val="2"/>
                <w:sz w:val="24"/>
                <w:szCs w:val="24"/>
                <w:lang w:val="en-US" w:eastAsia="zh-CN" w:bidi="ar-SA"/>
              </w:rPr>
              <w:t>负责。关键工序的记录由肖国文负责填写。查《特殊过程确认准则及确认结果》：对工艺、设备、人员、《焊接作业指</w:t>
            </w:r>
            <w:r>
              <w:rPr>
                <w:rFonts w:hint="eastAsia" w:ascii="宋体" w:hAnsi="宋体" w:cs="Times New Roman"/>
                <w:kern w:val="2"/>
                <w:sz w:val="24"/>
                <w:szCs w:val="24"/>
                <w:lang w:val="en-US" w:eastAsia="zh-CN" w:bidi="ar-SA"/>
              </w:rPr>
              <w:t>导书》、相关的程序文件和记录进行了判定和再确认。</w:t>
            </w:r>
          </w:p>
          <w:p>
            <w:p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配置了所需的人员（叉车员一名、焊工两名、电工一名）、设备（数控机床、剪板机、折弯机、激光切割机、氩弧焊机）、厂房、库房等资源，编制了手册及相关生产记录；财务部提供资金支持；销售部提供市场信息与客户反馈信息。</w:t>
            </w:r>
          </w:p>
          <w:p>
            <w:pPr>
              <w:pStyle w:val="11"/>
              <w:spacing w:line="340" w:lineRule="exact"/>
              <w:rPr>
                <w:rFonts w:hint="default" w:ascii="宋体" w:hAnsi="宋体" w:eastAsia="宋体"/>
                <w:color w:val="000000"/>
                <w:sz w:val="24"/>
                <w:lang w:val="en-US" w:eastAsia="zh-CN"/>
              </w:rPr>
            </w:pPr>
            <w:r>
              <w:rPr>
                <w:rFonts w:hint="eastAsia" w:ascii="宋体" w:hAnsi="宋体" w:eastAsia="宋体" w:cs="Times New Roman"/>
                <w:kern w:val="2"/>
                <w:sz w:val="24"/>
                <w:szCs w:val="24"/>
                <w:lang w:val="en-US" w:eastAsia="zh-CN" w:bidi="ar-SA"/>
              </w:rPr>
              <w:t>公司编辑《外部提供产品、服务和过程控制程序》，评估、选择及控制外部提供方，并对采购活动进行有效地控制，确保外部提供的产品和服务的要求得到满足。查《供方评定记录表》：</w:t>
            </w:r>
            <w:r>
              <w:rPr>
                <w:rFonts w:hint="eastAsia" w:ascii="宋体" w:hAnsi="宋体" w:eastAsia="宋体" w:cs="Times New Roman"/>
                <w:color w:val="auto"/>
                <w:kern w:val="2"/>
                <w:sz w:val="24"/>
                <w:szCs w:val="24"/>
                <w:lang w:val="en-US" w:eastAsia="zh-CN" w:bidi="ar-SA"/>
              </w:rPr>
              <w:t>企业名称：</w:t>
            </w:r>
            <w:bookmarkStart w:id="0" w:name="_GoBack"/>
            <w:r>
              <w:rPr>
                <w:rFonts w:hint="eastAsia" w:ascii="宋体" w:hAnsi="宋体" w:cs="Times New Roman"/>
                <w:color w:val="auto"/>
                <w:kern w:val="2"/>
                <w:sz w:val="24"/>
                <w:szCs w:val="24"/>
                <w:lang w:val="en-US" w:eastAsia="zh-CN" w:bidi="ar-SA"/>
              </w:rPr>
              <w:t>安徽建发电气设备有限公司</w:t>
            </w:r>
            <w:bookmarkEnd w:id="0"/>
            <w:r>
              <w:rPr>
                <w:rFonts w:hint="eastAsia" w:ascii="宋体" w:hAnsi="宋体" w:eastAsia="宋体" w:cs="Times New Roman"/>
                <w:color w:val="auto"/>
                <w:kern w:val="2"/>
                <w:sz w:val="24"/>
                <w:szCs w:val="24"/>
                <w:lang w:val="en-US" w:eastAsia="zh-CN" w:bidi="ar-SA"/>
              </w:rPr>
              <w:t>，对供货样品检测评价合格，经各部门负责人评定为合格供方。查外部供方企业资质合格，针对外包过程，由公司技术人员进行外观的检测，确保产品质量合格</w:t>
            </w:r>
            <w:r>
              <w:rPr>
                <w:rFonts w:hint="eastAsia" w:ascii="宋体" w:hAnsi="宋体" w:cs="Times New Roman"/>
                <w:color w:val="auto"/>
                <w:kern w:val="2"/>
                <w:sz w:val="24"/>
                <w:szCs w:val="24"/>
                <w:lang w:val="en-US" w:eastAsia="zh-CN" w:bidi="ar-SA"/>
              </w:rPr>
              <w:t>，签订合作协议，详见附件。</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ascii="宋体" w:hAnsi="宋体" w:eastAsia="宋体"/>
                <w:szCs w:val="21"/>
                <w:lang w:val="en-US" w:eastAsia="zh-CN"/>
              </w:rPr>
            </w:pPr>
            <w:r>
              <w:rPr>
                <w:rFonts w:hint="eastAsia" w:ascii="宋体" w:hAnsi="宋体"/>
                <w:szCs w:val="21"/>
                <w:lang w:val="en-US" w:eastAsia="zh-CN"/>
              </w:rPr>
              <w:t>生产和服务提供的控制</w:t>
            </w:r>
          </w:p>
        </w:tc>
        <w:tc>
          <w:tcPr>
            <w:tcW w:w="960" w:type="dxa"/>
          </w:tcPr>
          <w:p>
            <w:pPr>
              <w:spacing w:before="120" w:line="340" w:lineRule="exact"/>
              <w:rPr>
                <w:rFonts w:hint="default" w:ascii="宋体" w:hAnsi="宋体" w:eastAsia="宋体"/>
                <w:szCs w:val="21"/>
                <w:lang w:val="en-US" w:eastAsia="zh-CN"/>
              </w:rPr>
            </w:pPr>
            <w:r>
              <w:rPr>
                <w:rFonts w:hint="eastAsia" w:ascii="宋体" w:hAnsi="宋体"/>
                <w:szCs w:val="21"/>
              </w:rPr>
              <w:t>Q</w:t>
            </w:r>
            <w:r>
              <w:rPr>
                <w:rFonts w:hint="eastAsia" w:ascii="宋体" w:hAnsi="宋体"/>
                <w:szCs w:val="21"/>
                <w:lang w:val="en-US" w:eastAsia="zh-CN"/>
              </w:rPr>
              <w:t>8.5.1</w:t>
            </w:r>
          </w:p>
          <w:p>
            <w:pPr>
              <w:spacing w:before="120" w:line="340" w:lineRule="exact"/>
              <w:rPr>
                <w:rFonts w:ascii="宋体" w:hAnsi="宋体"/>
                <w:szCs w:val="21"/>
              </w:rPr>
            </w:pPr>
          </w:p>
        </w:tc>
        <w:tc>
          <w:tcPr>
            <w:tcW w:w="10004" w:type="dxa"/>
          </w:tcPr>
          <w:p>
            <w:pP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生产车间按生产部的</w:t>
            </w:r>
            <w:r>
              <w:rPr>
                <w:rFonts w:hint="eastAsia" w:ascii="宋体" w:hAnsi="宋体"/>
                <w:sz w:val="24"/>
                <w:lang w:eastAsia="zh-CN"/>
              </w:rPr>
              <w:t>《</w:t>
            </w:r>
            <w:r>
              <w:rPr>
                <w:rFonts w:hint="eastAsia" w:ascii="宋体" w:hAnsi="宋体"/>
                <w:sz w:val="24"/>
                <w:lang w:val="en-US" w:eastAsia="zh-CN"/>
              </w:rPr>
              <w:t>生产和服务运作控制程序</w:t>
            </w:r>
            <w:r>
              <w:rPr>
                <w:rFonts w:hint="eastAsia" w:ascii="宋体" w:hAnsi="宋体"/>
                <w:sz w:val="24"/>
                <w:lang w:eastAsia="zh-CN"/>
              </w:rPr>
              <w:t>》</w:t>
            </w:r>
            <w:r>
              <w:rPr>
                <w:rFonts w:hint="eastAsia" w:ascii="宋体" w:hAnsi="宋体" w:eastAsia="宋体" w:cs="Times New Roman"/>
                <w:kern w:val="2"/>
                <w:sz w:val="24"/>
                <w:szCs w:val="24"/>
                <w:lang w:val="en-US" w:eastAsia="zh-CN" w:bidi="ar-SA"/>
              </w:rPr>
              <w:t>组织生产, 生产车间现场有</w:t>
            </w:r>
            <w:r>
              <w:rPr>
                <w:rFonts w:hint="eastAsia" w:ascii="宋体" w:hAnsi="宋体"/>
                <w:sz w:val="24"/>
                <w:lang w:eastAsia="zh-CN"/>
              </w:rPr>
              <w:t>《基础设施控制程序》、《过程运行环境控制程序》</w:t>
            </w: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《仓库、物料管理制度》</w:t>
            </w:r>
            <w:r>
              <w:rPr>
                <w:rFonts w:hint="eastAsia" w:ascii="宋体" w:hAnsi="宋体" w:eastAsia="宋体" w:cs="Times New Roman"/>
                <w:kern w:val="2"/>
                <w:sz w:val="24"/>
                <w:szCs w:val="24"/>
                <w:lang w:val="en-US" w:eastAsia="zh-CN" w:bidi="ar-SA"/>
              </w:rPr>
              <w:t>各产品《工艺操作规程》</w:t>
            </w:r>
            <w:r>
              <w:rPr>
                <w:rFonts w:hint="eastAsia" w:ascii="宋体" w:hAnsi="宋体" w:cs="Times New Roman"/>
                <w:kern w:val="2"/>
                <w:sz w:val="24"/>
                <w:szCs w:val="24"/>
                <w:lang w:val="en-US" w:eastAsia="zh-CN" w:bidi="ar-SA"/>
              </w:rPr>
              <w:t>、《产品防护控制程序》、</w:t>
            </w:r>
            <w:r>
              <w:rPr>
                <w:rFonts w:hint="eastAsia" w:ascii="宋体" w:hAnsi="宋体" w:eastAsia="宋体" w:cs="Times New Roman"/>
                <w:kern w:val="2"/>
                <w:sz w:val="24"/>
                <w:szCs w:val="24"/>
                <w:lang w:val="en-US" w:eastAsia="zh-CN" w:bidi="ar-SA"/>
              </w:rPr>
              <w:t>《不合格输出控制程序》和设备操作规程</w:t>
            </w:r>
            <w:r>
              <w:rPr>
                <w:rFonts w:hint="eastAsia" w:ascii="宋体" w:hAnsi="宋体" w:cs="Times New Roman"/>
                <w:kern w:val="2"/>
                <w:sz w:val="24"/>
                <w:szCs w:val="24"/>
                <w:lang w:val="en-US" w:eastAsia="zh-CN" w:bidi="ar-SA"/>
              </w:rPr>
              <w:t>。提供《焊接作业指导书》，对焊接过程进行规范指导，并由程晖每隔两小时填写《切割过程巡检记录》和《焊接过程巡检记录》，对外观、尺寸、误差进行点检。</w:t>
            </w:r>
          </w:p>
          <w:p>
            <w:p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现场查看,生产所需的设备和监视测量装置的提供基本满足要求.</w:t>
            </w:r>
          </w:p>
          <w:p>
            <w:pP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抽查人员资质，</w:t>
            </w:r>
            <w:r>
              <w:rPr>
                <w:rFonts w:hint="eastAsia" w:ascii="宋体" w:hAnsi="宋体" w:eastAsia="宋体" w:cs="Times New Roman"/>
                <w:kern w:val="2"/>
                <w:sz w:val="24"/>
                <w:szCs w:val="24"/>
                <w:lang w:val="en-US" w:eastAsia="zh-CN" w:bidi="ar-SA"/>
              </w:rPr>
              <w:t>配置了所需的人员（叉车员一名、焊工两名、电工一名）</w:t>
            </w:r>
          </w:p>
          <w:p>
            <w:p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按要求填写《</w:t>
            </w:r>
            <w:r>
              <w:rPr>
                <w:rFonts w:hint="eastAsia" w:ascii="宋体" w:hAnsi="宋体" w:cs="Times New Roman"/>
                <w:kern w:val="2"/>
                <w:sz w:val="24"/>
                <w:szCs w:val="24"/>
                <w:lang w:val="en-US" w:eastAsia="zh-CN" w:bidi="ar-SA"/>
              </w:rPr>
              <w:t>焊接过程巡检记录</w:t>
            </w: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切割过程巡检记录</w:t>
            </w:r>
            <w:r>
              <w:rPr>
                <w:rFonts w:hint="eastAsia" w:ascii="宋体" w:hAnsi="宋体" w:eastAsia="宋体" w:cs="Times New Roman"/>
                <w:kern w:val="2"/>
                <w:sz w:val="24"/>
                <w:szCs w:val="24"/>
                <w:lang w:val="en-US" w:eastAsia="zh-CN" w:bidi="ar-SA"/>
              </w:rPr>
              <w:t>》等进行过程控制。</w:t>
            </w:r>
          </w:p>
          <w:p>
            <w:p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并提供了特殊过程能力确认表</w:t>
            </w:r>
          </w:p>
          <w:p>
            <w:pPr>
              <w:rPr>
                <w:rFonts w:ascii="宋体" w:hAnsi="宋体"/>
                <w:color w:val="000000"/>
                <w:sz w:val="24"/>
              </w:rPr>
            </w:pPr>
            <w:r>
              <w:rPr>
                <w:rFonts w:hint="eastAsia" w:ascii="宋体" w:hAnsi="宋体" w:eastAsia="宋体" w:cs="Times New Roman"/>
                <w:kern w:val="2"/>
                <w:sz w:val="24"/>
                <w:szCs w:val="24"/>
                <w:lang w:val="en-US" w:eastAsia="zh-CN" w:bidi="ar-SA"/>
              </w:rPr>
              <w:t>对确认项目：</w:t>
            </w:r>
            <w:r>
              <w:rPr>
                <w:rFonts w:hint="eastAsia" w:ascii="宋体" w:hAnsi="宋体" w:cs="Times New Roman"/>
                <w:kern w:val="2"/>
                <w:sz w:val="24"/>
                <w:szCs w:val="24"/>
                <w:lang w:val="en-US" w:eastAsia="zh-CN" w:bidi="ar-SA"/>
              </w:rPr>
              <w:t>对工艺、设备、人员、《焊接作业指导书》、相关的程序文件和记录进行了判定和再确认</w:t>
            </w: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明确表明了</w:t>
            </w:r>
            <w:r>
              <w:rPr>
                <w:rFonts w:hint="eastAsia" w:ascii="宋体" w:hAnsi="宋体" w:eastAsia="宋体" w:cs="Times New Roman"/>
                <w:kern w:val="2"/>
                <w:sz w:val="24"/>
                <w:szCs w:val="24"/>
                <w:lang w:val="en-US" w:eastAsia="zh-CN" w:bidi="ar-SA"/>
              </w:rPr>
              <w:t>审核意见，</w:t>
            </w:r>
            <w:r>
              <w:rPr>
                <w:rFonts w:hint="eastAsia" w:ascii="宋体" w:hAnsi="宋体" w:cs="Times New Roman"/>
                <w:kern w:val="2"/>
                <w:sz w:val="24"/>
                <w:szCs w:val="24"/>
                <w:lang w:val="en-US" w:eastAsia="zh-CN" w:bidi="ar-SA"/>
              </w:rPr>
              <w:t>参与人（韦国庆、刘亚明、程辉、肖国文）、</w:t>
            </w:r>
            <w:r>
              <w:rPr>
                <w:rFonts w:hint="eastAsia" w:ascii="宋体" w:hAnsi="宋体" w:eastAsia="宋体" w:cs="Times New Roman"/>
                <w:kern w:val="2"/>
                <w:sz w:val="24"/>
                <w:szCs w:val="24"/>
                <w:lang w:val="en-US" w:eastAsia="zh-CN" w:bidi="ar-SA"/>
              </w:rPr>
              <w:t>批准人</w:t>
            </w:r>
            <w:r>
              <w:rPr>
                <w:rFonts w:hint="eastAsia" w:ascii="宋体" w:hAnsi="宋体" w:cs="Times New Roman"/>
                <w:kern w:val="2"/>
                <w:sz w:val="24"/>
                <w:szCs w:val="24"/>
                <w:lang w:val="en-US" w:eastAsia="zh-CN" w:bidi="ar-SA"/>
              </w:rPr>
              <w:t>（甘珍平）</w:t>
            </w:r>
            <w:r>
              <w:rPr>
                <w:rFonts w:hint="eastAsia" w:ascii="宋体" w:hAnsi="宋体" w:eastAsia="宋体" w:cs="Times New Roman"/>
                <w:kern w:val="2"/>
                <w:sz w:val="24"/>
                <w:szCs w:val="24"/>
                <w:lang w:val="en-US" w:eastAsia="zh-CN" w:bidi="ar-SA"/>
              </w:rPr>
              <w:t>。</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160" w:type="dxa"/>
          </w:tcPr>
          <w:p>
            <w:pPr>
              <w:spacing w:before="120" w:line="320" w:lineRule="exact"/>
              <w:rPr>
                <w:rFonts w:hint="default" w:ascii="宋体" w:hAnsi="宋体" w:eastAsia="宋体"/>
                <w:szCs w:val="21"/>
                <w:lang w:val="en-US" w:eastAsia="zh-CN"/>
              </w:rPr>
            </w:pPr>
            <w:r>
              <w:rPr>
                <w:rFonts w:hint="eastAsia" w:ascii="宋体" w:hAnsi="宋体"/>
                <w:szCs w:val="21"/>
                <w:lang w:val="en-US" w:eastAsia="zh-CN"/>
              </w:rPr>
              <w:t>标识和可追溯性</w:t>
            </w:r>
          </w:p>
        </w:tc>
        <w:tc>
          <w:tcPr>
            <w:tcW w:w="960" w:type="dxa"/>
          </w:tcPr>
          <w:p>
            <w:pPr>
              <w:spacing w:before="120" w:line="340" w:lineRule="exact"/>
              <w:rPr>
                <w:rFonts w:hint="default" w:ascii="宋体" w:hAnsi="宋体" w:eastAsia="宋体"/>
                <w:szCs w:val="21"/>
                <w:lang w:val="en-US" w:eastAsia="zh-CN"/>
              </w:rPr>
            </w:pPr>
            <w:r>
              <w:rPr>
                <w:rFonts w:hint="eastAsia" w:ascii="宋体" w:hAnsi="宋体"/>
                <w:szCs w:val="21"/>
              </w:rPr>
              <w:t>Q</w:t>
            </w:r>
            <w:r>
              <w:rPr>
                <w:rFonts w:hint="eastAsia" w:ascii="宋体" w:hAnsi="宋体"/>
                <w:szCs w:val="21"/>
                <w:lang w:val="en-US" w:eastAsia="zh-CN"/>
              </w:rPr>
              <w:t>8.5.2</w:t>
            </w:r>
          </w:p>
          <w:p>
            <w:pPr>
              <w:spacing w:before="120" w:line="340" w:lineRule="exact"/>
              <w:rPr>
                <w:rFonts w:ascii="宋体" w:hAnsi="宋体"/>
                <w:szCs w:val="21"/>
              </w:rPr>
            </w:pPr>
          </w:p>
        </w:tc>
        <w:tc>
          <w:tcPr>
            <w:tcW w:w="10004" w:type="dxa"/>
          </w:tcPr>
          <w:p>
            <w:p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编辑《文件控制程序》、《记录控制程序》规定所有的标识、标识方法和要求。</w:t>
            </w:r>
          </w:p>
          <w:p>
            <w:pPr>
              <w:spacing w:line="320" w:lineRule="exact"/>
              <w:rPr>
                <w:rFonts w:hint="eastAsia" w:ascii="宋体" w:hAnsi="宋体"/>
                <w:sz w:val="24"/>
                <w:szCs w:val="24"/>
              </w:rPr>
            </w:pPr>
            <w:r>
              <w:rPr>
                <w:rFonts w:hint="eastAsia" w:ascii="宋体" w:hAnsi="宋体" w:eastAsia="宋体" w:cs="Times New Roman"/>
                <w:kern w:val="2"/>
                <w:sz w:val="24"/>
                <w:szCs w:val="24"/>
                <w:lang w:val="en-US" w:eastAsia="zh-CN" w:bidi="ar-SA"/>
              </w:rPr>
              <w:t>产品标识：</w:t>
            </w:r>
            <w:r>
              <w:rPr>
                <w:rFonts w:hint="eastAsia" w:ascii="宋体" w:hAnsi="宋体" w:cs="Times New Roman"/>
                <w:kern w:val="2"/>
                <w:sz w:val="24"/>
                <w:szCs w:val="24"/>
                <w:lang w:val="en-US" w:eastAsia="zh-CN" w:bidi="ar-SA"/>
              </w:rPr>
              <w:t>依据合同订单号，编辑</w:t>
            </w:r>
            <w:r>
              <w:rPr>
                <w:rFonts w:hint="eastAsia" w:ascii="宋体" w:hAnsi="宋体" w:eastAsia="宋体" w:cs="Times New Roman"/>
                <w:kern w:val="2"/>
                <w:sz w:val="24"/>
                <w:szCs w:val="24"/>
                <w:lang w:val="en-US" w:eastAsia="zh-CN" w:bidi="ar-SA"/>
              </w:rPr>
              <w:t>成品的标识用编号，对应相关的客户。</w:t>
            </w:r>
            <w:r>
              <w:rPr>
                <w:rFonts w:hint="eastAsia" w:ascii="宋体" w:hAnsi="宋体"/>
                <w:sz w:val="24"/>
                <w:szCs w:val="24"/>
              </w:rPr>
              <w:t>抽</w:t>
            </w:r>
            <w:r>
              <w:rPr>
                <w:rFonts w:hint="eastAsia" w:ascii="宋体" w:hAnsi="宋体"/>
                <w:sz w:val="24"/>
                <w:szCs w:val="24"/>
                <w:lang w:val="en-US" w:eastAsia="zh-CN"/>
              </w:rPr>
              <w:t xml:space="preserve">与常熟市强盛冲压件有限公司 </w:t>
            </w:r>
            <w:r>
              <w:rPr>
                <w:rFonts w:hint="eastAsia" w:ascii="宋体" w:hAnsi="宋体"/>
                <w:sz w:val="24"/>
                <w:szCs w:val="24"/>
              </w:rPr>
              <w:t>签订的</w:t>
            </w:r>
            <w:r>
              <w:rPr>
                <w:rFonts w:hint="eastAsia" w:ascii="宋体" w:hAnsi="宋体"/>
                <w:sz w:val="24"/>
                <w:szCs w:val="24"/>
                <w:lang w:val="en-US" w:eastAsia="zh-CN"/>
              </w:rPr>
              <w:t>销售</w:t>
            </w:r>
            <w:r>
              <w:rPr>
                <w:rFonts w:hint="eastAsia" w:ascii="宋体" w:hAnsi="宋体"/>
                <w:sz w:val="24"/>
                <w:szCs w:val="24"/>
              </w:rPr>
              <w:t>合同，</w:t>
            </w:r>
            <w:r>
              <w:rPr>
                <w:rFonts w:hint="eastAsia" w:ascii="宋体" w:hAnsi="宋体"/>
                <w:sz w:val="24"/>
                <w:szCs w:val="24"/>
                <w:lang w:val="en-US" w:eastAsia="zh-CN"/>
              </w:rPr>
              <w:t>合同单号：4505561731合同内容：物料名称：熔丝链接安装支架L头、规格型号：WHECE0013-1、数量：5,000</w:t>
            </w:r>
            <w:r>
              <w:rPr>
                <w:rFonts w:hint="eastAsia" w:ascii="宋体" w:hAnsi="宋体"/>
                <w:sz w:val="24"/>
                <w:szCs w:val="24"/>
              </w:rPr>
              <w:t>等，合同中明确了产品规格及</w:t>
            </w:r>
            <w:r>
              <w:rPr>
                <w:rFonts w:hint="eastAsia" w:ascii="宋体" w:hAnsi="宋体"/>
                <w:sz w:val="24"/>
                <w:szCs w:val="24"/>
                <w:lang w:val="en-US" w:eastAsia="zh-CN"/>
              </w:rPr>
              <w:t>型号</w:t>
            </w:r>
            <w:r>
              <w:rPr>
                <w:rFonts w:hint="eastAsia" w:ascii="宋体" w:hAnsi="宋体"/>
                <w:sz w:val="24"/>
                <w:szCs w:val="24"/>
              </w:rPr>
              <w:t>的要求</w:t>
            </w:r>
            <w:r>
              <w:rPr>
                <w:rFonts w:hint="eastAsia" w:ascii="宋体" w:hAnsi="宋体"/>
                <w:sz w:val="24"/>
                <w:szCs w:val="24"/>
                <w:lang w:val="en-US" w:eastAsia="zh-CN"/>
              </w:rPr>
              <w:t>等</w:t>
            </w:r>
            <w:r>
              <w:rPr>
                <w:rFonts w:hint="eastAsia" w:ascii="宋体" w:hAnsi="宋体"/>
                <w:sz w:val="24"/>
                <w:szCs w:val="24"/>
              </w:rPr>
              <w:t>。</w:t>
            </w:r>
          </w:p>
          <w:p>
            <w:pPr>
              <w:rPr>
                <w:rFonts w:hint="default" w:ascii="宋体" w:hAnsi="宋体" w:eastAsia="宋体" w:cs="Times New Roman"/>
                <w:kern w:val="2"/>
                <w:sz w:val="24"/>
                <w:szCs w:val="24"/>
                <w:lang w:val="en-US" w:eastAsia="zh-CN" w:bidi="ar-SA"/>
              </w:rPr>
            </w:pPr>
          </w:p>
          <w:p>
            <w:pPr>
              <w:pStyle w:val="11"/>
              <w:spacing w:line="340" w:lineRule="exact"/>
              <w:rPr>
                <w:rFonts w:ascii="宋体" w:hAnsi="宋体"/>
                <w:color w:val="000000"/>
                <w:sz w:val="24"/>
              </w:rPr>
            </w:pP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2160" w:type="dxa"/>
          </w:tcPr>
          <w:p>
            <w:pPr>
              <w:spacing w:before="120" w:line="320" w:lineRule="exact"/>
              <w:rPr>
                <w:rFonts w:hint="default" w:ascii="宋体" w:hAnsi="宋体" w:eastAsia="宋体"/>
                <w:szCs w:val="21"/>
                <w:lang w:val="en-US" w:eastAsia="zh-CN"/>
              </w:rPr>
            </w:pPr>
            <w:r>
              <w:rPr>
                <w:rFonts w:hint="eastAsia" w:ascii="宋体" w:hAnsi="宋体"/>
                <w:szCs w:val="21"/>
                <w:lang w:val="en-US" w:eastAsia="zh-CN"/>
              </w:rPr>
              <w:t>顾客和外部供方财产</w:t>
            </w:r>
          </w:p>
        </w:tc>
        <w:tc>
          <w:tcPr>
            <w:tcW w:w="960" w:type="dxa"/>
          </w:tcPr>
          <w:p>
            <w:pPr>
              <w:spacing w:before="120" w:line="340" w:lineRule="exact"/>
              <w:rPr>
                <w:rFonts w:hint="default" w:ascii="宋体" w:hAnsi="宋体"/>
                <w:szCs w:val="21"/>
                <w:lang w:val="en-US"/>
              </w:rPr>
            </w:pPr>
            <w:r>
              <w:rPr>
                <w:rFonts w:hint="eastAsia" w:ascii="宋体" w:hAnsi="宋体"/>
                <w:szCs w:val="21"/>
              </w:rPr>
              <w:t>Q</w:t>
            </w:r>
            <w:r>
              <w:rPr>
                <w:rFonts w:hint="eastAsia" w:ascii="宋体" w:hAnsi="宋体"/>
                <w:szCs w:val="21"/>
                <w:lang w:val="en-US" w:eastAsia="zh-CN"/>
              </w:rPr>
              <w:t>8.5.3</w:t>
            </w:r>
          </w:p>
        </w:tc>
        <w:tc>
          <w:tcPr>
            <w:tcW w:w="10004" w:type="dxa"/>
          </w:tcPr>
          <w:p>
            <w:pPr>
              <w:spacing w:before="120" w:line="340" w:lineRule="exact"/>
              <w:rPr>
                <w:rFonts w:ascii="宋体" w:hAnsi="宋体"/>
                <w:sz w:val="24"/>
              </w:rPr>
            </w:pPr>
            <w:r>
              <w:rPr>
                <w:rFonts w:hint="eastAsia" w:ascii="宋体" w:hAnsi="宋体"/>
                <w:sz w:val="24"/>
              </w:rPr>
              <w:t>部门经理介绍说本部门</w:t>
            </w:r>
            <w:r>
              <w:rPr>
                <w:rFonts w:hint="eastAsia" w:ascii="宋体" w:hAnsi="宋体"/>
                <w:sz w:val="24"/>
                <w:lang w:val="en-US" w:eastAsia="zh-CN"/>
              </w:rPr>
              <w:t>涉及顾客财产为：设备图纸</w:t>
            </w:r>
            <w:r>
              <w:rPr>
                <w:rFonts w:hint="eastAsia" w:ascii="宋体" w:hAnsi="宋体"/>
                <w:sz w:val="24"/>
              </w:rPr>
              <w:t>，公司文件要求对识别、标识、验证、保护和维护顾客提供给企业的财产（含知识产权和个人信息等）。当顾客财产发生丢失、损坏或发现不适用的情况时，由相关部门查明原因，并报告顾客，并保持记录。</w:t>
            </w:r>
          </w:p>
          <w:p>
            <w:pPr>
              <w:pStyle w:val="11"/>
              <w:spacing w:line="340" w:lineRule="exact"/>
              <w:rPr>
                <w:rFonts w:ascii="宋体" w:hAnsi="宋体"/>
                <w:color w:val="000000"/>
                <w:sz w:val="24"/>
              </w:rPr>
            </w:pPr>
            <w:r>
              <w:rPr>
                <w:rFonts w:hint="eastAsia" w:ascii="宋体" w:hAnsi="宋体"/>
                <w:sz w:val="24"/>
              </w:rPr>
              <w:t>顾客财产由</w:t>
            </w:r>
            <w:r>
              <w:rPr>
                <w:rFonts w:hint="eastAsia" w:ascii="宋体" w:hAnsi="宋体"/>
                <w:sz w:val="24"/>
                <w:lang w:val="en-US" w:eastAsia="zh-CN"/>
              </w:rPr>
              <w:t>生产</w:t>
            </w:r>
            <w:r>
              <w:rPr>
                <w:rFonts w:hint="eastAsia" w:ascii="宋体" w:hAnsi="宋体"/>
                <w:sz w:val="24"/>
              </w:rPr>
              <w:t>部负责登记、保管和使用。</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line="320" w:lineRule="exact"/>
              <w:rPr>
                <w:rFonts w:hint="eastAsia" w:ascii="宋体" w:hAnsi="宋体" w:eastAsia="宋体"/>
                <w:szCs w:val="21"/>
                <w:lang w:val="en-US" w:eastAsia="zh-CN"/>
              </w:rPr>
            </w:pPr>
            <w:r>
              <w:rPr>
                <w:rFonts w:hint="eastAsia" w:ascii="宋体" w:hAnsi="宋体"/>
                <w:szCs w:val="21"/>
                <w:lang w:val="en-US" w:eastAsia="zh-CN"/>
              </w:rPr>
              <w:t>防护</w:t>
            </w:r>
          </w:p>
        </w:tc>
        <w:tc>
          <w:tcPr>
            <w:tcW w:w="960" w:type="dxa"/>
          </w:tcPr>
          <w:p>
            <w:pPr>
              <w:spacing w:before="120" w:line="340" w:lineRule="exact"/>
              <w:rPr>
                <w:rFonts w:hint="default" w:ascii="宋体" w:hAnsi="宋体"/>
                <w:szCs w:val="21"/>
                <w:lang w:val="en-US"/>
              </w:rPr>
            </w:pPr>
            <w:r>
              <w:rPr>
                <w:rFonts w:hint="eastAsia" w:ascii="宋体" w:hAnsi="宋体"/>
                <w:szCs w:val="21"/>
              </w:rPr>
              <w:t>Q</w:t>
            </w:r>
            <w:r>
              <w:rPr>
                <w:rFonts w:hint="eastAsia" w:ascii="宋体" w:hAnsi="宋体"/>
                <w:szCs w:val="21"/>
                <w:lang w:val="en-US" w:eastAsia="zh-CN"/>
              </w:rPr>
              <w:t>8.5.4</w:t>
            </w:r>
          </w:p>
        </w:tc>
        <w:tc>
          <w:tcPr>
            <w:tcW w:w="10004" w:type="dxa"/>
          </w:tcPr>
          <w:p>
            <w:pPr>
              <w:spacing w:line="340" w:lineRule="exact"/>
              <w:rPr>
                <w:rFonts w:hint="eastAsia" w:ascii="宋体" w:hAnsi="宋体" w:cs="宋体"/>
                <w:sz w:val="24"/>
                <w:lang w:val="en-US" w:eastAsia="zh-CN" w:bidi="ar"/>
              </w:rPr>
            </w:pPr>
            <w:r>
              <w:rPr>
                <w:rFonts w:hint="eastAsia" w:ascii="宋体" w:hAnsi="宋体" w:cs="宋体"/>
                <w:sz w:val="24"/>
                <w:lang w:val="en-US" w:eastAsia="zh-CN" w:bidi="ar"/>
              </w:rPr>
              <w:t>编辑《产品防护控制程序》，生产图纸、工艺流程、生产过程中相关记录文件，编号标记归档，并保存电子文档保存</w:t>
            </w:r>
          </w:p>
          <w:p>
            <w:pPr>
              <w:spacing w:line="340" w:lineRule="exact"/>
              <w:rPr>
                <w:rFonts w:hint="default" w:ascii="宋体" w:hAnsi="宋体" w:cs="宋体"/>
                <w:sz w:val="24"/>
                <w:lang w:val="en-US" w:bidi="ar"/>
              </w:rPr>
            </w:pPr>
            <w:r>
              <w:rPr>
                <w:rFonts w:hint="eastAsia" w:ascii="宋体" w:hAnsi="宋体" w:cs="宋体"/>
                <w:sz w:val="24"/>
                <w:lang w:val="en-US" w:eastAsia="zh-CN" w:bidi="ar"/>
              </w:rPr>
              <w:t>原料和成品存放处</w:t>
            </w:r>
            <w:r>
              <w:rPr>
                <w:rFonts w:hint="eastAsia" w:ascii="宋体" w:hAnsi="宋体" w:cs="宋体"/>
                <w:sz w:val="24"/>
                <w:lang w:bidi="ar"/>
              </w:rPr>
              <w:t>：组织</w:t>
            </w:r>
            <w:r>
              <w:rPr>
                <w:rFonts w:hint="eastAsia" w:ascii="宋体" w:hAnsi="宋体" w:cs="宋体"/>
                <w:sz w:val="24"/>
                <w:lang w:val="en-US" w:eastAsia="zh-CN" w:bidi="ar"/>
              </w:rPr>
              <w:t>划分出</w:t>
            </w:r>
            <w:r>
              <w:rPr>
                <w:rFonts w:hint="eastAsia" w:ascii="宋体" w:hAnsi="宋体" w:cs="宋体"/>
                <w:sz w:val="24"/>
                <w:lang w:bidi="ar"/>
              </w:rPr>
              <w:t>原料</w:t>
            </w:r>
            <w:r>
              <w:rPr>
                <w:rFonts w:hint="eastAsia" w:ascii="宋体" w:hAnsi="宋体" w:cs="宋体"/>
                <w:sz w:val="24"/>
                <w:lang w:val="en-US" w:eastAsia="zh-CN" w:bidi="ar"/>
              </w:rPr>
              <w:t>暂存区</w:t>
            </w:r>
            <w:r>
              <w:rPr>
                <w:rFonts w:hint="eastAsia" w:ascii="宋体" w:hAnsi="宋体" w:cs="宋体"/>
                <w:sz w:val="24"/>
                <w:lang w:bidi="ar"/>
              </w:rPr>
              <w:t>、成品</w:t>
            </w:r>
            <w:r>
              <w:rPr>
                <w:rFonts w:hint="eastAsia" w:ascii="宋体" w:hAnsi="宋体" w:cs="宋体"/>
                <w:sz w:val="24"/>
                <w:lang w:val="en-US" w:eastAsia="zh-CN" w:bidi="ar"/>
              </w:rPr>
              <w:t>暂存区和配件室，标识清晰</w:t>
            </w:r>
            <w:r>
              <w:rPr>
                <w:rFonts w:hint="eastAsia" w:ascii="宋体" w:hAnsi="宋体" w:cs="宋体"/>
                <w:sz w:val="24"/>
                <w:lang w:bidi="ar"/>
              </w:rPr>
              <w:t>；</w:t>
            </w:r>
            <w:r>
              <w:rPr>
                <w:rFonts w:hint="eastAsia" w:ascii="宋体" w:hAnsi="宋体" w:cs="宋体"/>
                <w:sz w:val="24"/>
                <w:lang w:val="en-US" w:eastAsia="zh-CN" w:bidi="ar"/>
              </w:rPr>
              <w:t>暂存</w:t>
            </w:r>
            <w:r>
              <w:rPr>
                <w:rFonts w:hint="eastAsia" w:ascii="宋体" w:hAnsi="宋体" w:cs="宋体"/>
                <w:sz w:val="24"/>
                <w:lang w:bidi="ar"/>
              </w:rPr>
              <w:t>现场地面为水泥地面，干净整洁，</w:t>
            </w:r>
            <w:r>
              <w:rPr>
                <w:rFonts w:hint="eastAsia" w:ascii="宋体" w:hAnsi="宋体" w:cs="宋体"/>
                <w:sz w:val="24"/>
                <w:lang w:val="en-US" w:eastAsia="zh-CN" w:bidi="ar"/>
              </w:rPr>
              <w:t>原料</w:t>
            </w:r>
            <w:r>
              <w:rPr>
                <w:rFonts w:hint="eastAsia" w:ascii="宋体" w:hAnsi="宋体" w:cs="宋体"/>
                <w:sz w:val="24"/>
                <w:lang w:bidi="ar"/>
              </w:rPr>
              <w:t>存放于</w:t>
            </w:r>
            <w:r>
              <w:rPr>
                <w:rFonts w:hint="eastAsia" w:ascii="宋体" w:hAnsi="宋体" w:cs="宋体"/>
                <w:sz w:val="24"/>
                <w:lang w:val="en-US" w:eastAsia="zh-CN" w:bidi="ar"/>
              </w:rPr>
              <w:t>货架</w:t>
            </w:r>
            <w:r>
              <w:rPr>
                <w:rFonts w:hint="eastAsia" w:ascii="宋体" w:hAnsi="宋体" w:cs="宋体"/>
                <w:sz w:val="24"/>
                <w:lang w:bidi="ar"/>
              </w:rPr>
              <w:t>上，分类贮存，不易混淆。所有原辅料进行标识，</w:t>
            </w:r>
            <w:r>
              <w:rPr>
                <w:rFonts w:hint="eastAsia" w:ascii="宋体" w:hAnsi="宋体" w:cs="宋体"/>
                <w:sz w:val="24"/>
                <w:lang w:val="en-US" w:eastAsia="zh-CN" w:bidi="ar"/>
              </w:rPr>
              <w:t>标识物料名称、数量等</w:t>
            </w:r>
            <w:r>
              <w:rPr>
                <w:rFonts w:hint="eastAsia" w:ascii="宋体" w:hAnsi="宋体" w:cs="宋体"/>
                <w:sz w:val="24"/>
                <w:lang w:eastAsia="zh-CN" w:bidi="ar"/>
              </w:rPr>
              <w:t>。</w:t>
            </w:r>
            <w:r>
              <w:rPr>
                <w:rFonts w:hint="eastAsia" w:ascii="宋体" w:hAnsi="宋体" w:cs="宋体"/>
                <w:sz w:val="24"/>
                <w:lang w:val="en-US" w:eastAsia="zh-CN" w:bidi="ar"/>
              </w:rPr>
              <w:t>现场巡查发现，存放气罐和设备区域，均放有灭火器，查看灭火器压力均在合格范围内。</w:t>
            </w:r>
          </w:p>
          <w:p>
            <w:pPr>
              <w:spacing w:line="340" w:lineRule="exact"/>
              <w:rPr>
                <w:rFonts w:hint="default" w:ascii="宋体" w:hAnsi="宋体" w:cs="宋体"/>
                <w:sz w:val="24"/>
                <w:lang w:val="en-US" w:eastAsia="zh-CN" w:bidi="ar"/>
              </w:rPr>
            </w:pPr>
            <w:r>
              <w:rPr>
                <w:rFonts w:hint="eastAsia" w:ascii="宋体" w:hAnsi="宋体" w:cs="宋体"/>
                <w:sz w:val="24"/>
                <w:lang w:val="en-US" w:eastAsia="zh-CN" w:bidi="ar"/>
              </w:rPr>
              <w:t>对加工好的设备进行编号标示、包装。小件设备或本市区内的客户设由公司配备的运输车辆送货上门，确保运输过程产品防护可控。大件或市区以外的客户由物流公司负责运送，</w:t>
            </w:r>
          </w:p>
          <w:p>
            <w:pPr>
              <w:spacing w:line="340" w:lineRule="exact"/>
              <w:rPr>
                <w:rFonts w:hint="eastAsia" w:ascii="宋体" w:hAnsi="宋体" w:cs="宋体"/>
                <w:sz w:val="24"/>
                <w:lang w:bidi="ar"/>
              </w:rPr>
            </w:pPr>
          </w:p>
        </w:tc>
        <w:tc>
          <w:tcPr>
            <w:tcW w:w="1585" w:type="dxa"/>
          </w:tcPr>
          <w:p>
            <w:pPr>
              <w:spacing w:line="340" w:lineRule="exact"/>
              <w:rPr>
                <w:rFonts w:hint="default" w:ascii="宋体" w:hAnsi="宋体" w:cs="宋体"/>
                <w:sz w:val="24"/>
                <w:lang w:val="en-US" w:eastAsia="zh-CN" w:bidi="ar"/>
              </w:rPr>
            </w:pPr>
            <w:r>
              <w:rPr>
                <w:rFonts w:hint="eastAsia" w:ascii="宋体" w:hAnsi="宋体" w:cs="宋体"/>
                <w:sz w:val="24"/>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160" w:type="dxa"/>
          </w:tcPr>
          <w:p>
            <w:pPr>
              <w:spacing w:before="120" w:line="320" w:lineRule="exact"/>
              <w:rPr>
                <w:rFonts w:hint="default" w:ascii="宋体" w:hAnsi="宋体" w:eastAsia="宋体"/>
                <w:szCs w:val="21"/>
                <w:lang w:val="en-US" w:eastAsia="zh-CN"/>
              </w:rPr>
            </w:pPr>
            <w:r>
              <w:rPr>
                <w:rFonts w:hint="eastAsia" w:ascii="宋体" w:hAnsi="宋体"/>
                <w:szCs w:val="21"/>
                <w:lang w:val="en-US" w:eastAsia="zh-CN"/>
              </w:rPr>
              <w:t>交付后活动</w:t>
            </w:r>
          </w:p>
        </w:tc>
        <w:tc>
          <w:tcPr>
            <w:tcW w:w="960" w:type="dxa"/>
          </w:tcPr>
          <w:p>
            <w:pPr>
              <w:spacing w:before="120" w:line="340" w:lineRule="exact"/>
              <w:rPr>
                <w:rFonts w:hint="default" w:ascii="宋体" w:hAnsi="宋体"/>
                <w:szCs w:val="21"/>
                <w:lang w:val="en-US"/>
              </w:rPr>
            </w:pPr>
            <w:r>
              <w:rPr>
                <w:rFonts w:hint="eastAsia" w:ascii="宋体" w:hAnsi="宋体"/>
                <w:szCs w:val="21"/>
              </w:rPr>
              <w:t>Q</w:t>
            </w:r>
            <w:r>
              <w:rPr>
                <w:rFonts w:hint="eastAsia" w:ascii="宋体" w:hAnsi="宋体"/>
                <w:szCs w:val="21"/>
                <w:lang w:val="en-US" w:eastAsia="zh-CN"/>
              </w:rPr>
              <w:t>8.5.5</w:t>
            </w:r>
          </w:p>
        </w:tc>
        <w:tc>
          <w:tcPr>
            <w:tcW w:w="10004" w:type="dxa"/>
          </w:tcPr>
          <w:p>
            <w:pPr>
              <w:spacing w:line="340" w:lineRule="exact"/>
              <w:rPr>
                <w:rFonts w:hint="eastAsia" w:ascii="宋体" w:hAnsi="宋体" w:cs="宋体"/>
                <w:sz w:val="24"/>
                <w:lang w:val="en-US" w:eastAsia="zh-CN" w:bidi="ar"/>
              </w:rPr>
            </w:pPr>
            <w:r>
              <w:rPr>
                <w:rFonts w:hint="eastAsia" w:ascii="宋体" w:hAnsi="宋体" w:cs="宋体"/>
                <w:sz w:val="24"/>
                <w:lang w:val="en-US" w:eastAsia="zh-CN" w:bidi="ar"/>
              </w:rPr>
              <w:t>编辑《销售服务管理制度》依照客户合同对交付后的产品进行相关的合同义务（返工处理或直接报废）</w:t>
            </w:r>
          </w:p>
          <w:p>
            <w:pPr>
              <w:spacing w:line="340" w:lineRule="exact"/>
              <w:rPr>
                <w:rFonts w:hint="eastAsia" w:ascii="宋体" w:hAnsi="宋体" w:eastAsia="宋体"/>
                <w:color w:val="000000"/>
                <w:sz w:val="24"/>
                <w:lang w:eastAsia="zh-CN"/>
              </w:rPr>
            </w:pPr>
            <w:r>
              <w:rPr>
                <w:rFonts w:hint="eastAsia" w:ascii="宋体" w:hAnsi="宋体" w:cs="宋体"/>
                <w:sz w:val="24"/>
                <w:lang w:bidi="ar"/>
              </w:rPr>
              <w:t>如有客户投诉及抱怨，及时沟通、调查，处理</w:t>
            </w:r>
            <w:r>
              <w:rPr>
                <w:rFonts w:hint="eastAsia" w:ascii="宋体" w:hAnsi="宋体" w:cs="宋体"/>
                <w:sz w:val="24"/>
                <w:lang w:eastAsia="zh-CN" w:bidi="ar"/>
              </w:rPr>
              <w:t>。</w:t>
            </w:r>
            <w:r>
              <w:rPr>
                <w:rFonts w:hint="eastAsia" w:ascii="宋体" w:hAnsi="宋体" w:cs="宋体"/>
                <w:sz w:val="24"/>
                <w:lang w:bidi="ar"/>
              </w:rPr>
              <w:t>及时进行走访,回访</w:t>
            </w:r>
            <w:r>
              <w:rPr>
                <w:rFonts w:hint="eastAsia" w:ascii="宋体" w:hAnsi="宋体" w:cs="宋体"/>
                <w:sz w:val="24"/>
                <w:lang w:eastAsia="zh-CN" w:bidi="ar"/>
              </w:rPr>
              <w:t>。</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160" w:type="dxa"/>
          </w:tcPr>
          <w:p>
            <w:pPr>
              <w:spacing w:before="120" w:line="320" w:lineRule="exact"/>
              <w:rPr>
                <w:rFonts w:hint="eastAsia" w:ascii="宋体" w:hAnsi="宋体" w:eastAsia="宋体"/>
                <w:szCs w:val="21"/>
                <w:lang w:val="en-US" w:eastAsia="zh-CN"/>
              </w:rPr>
            </w:pPr>
            <w:r>
              <w:rPr>
                <w:rFonts w:hint="eastAsia" w:ascii="宋体" w:hAnsi="宋体"/>
                <w:szCs w:val="21"/>
                <w:lang w:val="en-US" w:eastAsia="zh-CN"/>
              </w:rPr>
              <w:t>更改控制</w:t>
            </w:r>
          </w:p>
        </w:tc>
        <w:tc>
          <w:tcPr>
            <w:tcW w:w="960" w:type="dxa"/>
          </w:tcPr>
          <w:p>
            <w:pPr>
              <w:spacing w:before="120" w:line="340" w:lineRule="exact"/>
              <w:rPr>
                <w:rFonts w:hint="default" w:ascii="宋体" w:hAnsi="宋体"/>
                <w:szCs w:val="21"/>
                <w:lang w:val="en-US"/>
              </w:rPr>
            </w:pPr>
            <w:r>
              <w:rPr>
                <w:rFonts w:hint="eastAsia" w:ascii="宋体" w:hAnsi="宋体"/>
                <w:szCs w:val="21"/>
              </w:rPr>
              <w:t>Q</w:t>
            </w:r>
            <w:r>
              <w:rPr>
                <w:rFonts w:hint="eastAsia" w:ascii="宋体" w:hAnsi="宋体"/>
                <w:szCs w:val="21"/>
                <w:lang w:val="en-US" w:eastAsia="zh-CN"/>
              </w:rPr>
              <w:t>8.5.6</w:t>
            </w:r>
          </w:p>
        </w:tc>
        <w:tc>
          <w:tcPr>
            <w:tcW w:w="10004" w:type="dxa"/>
          </w:tcPr>
          <w:p>
            <w:pPr>
              <w:pStyle w:val="11"/>
              <w:spacing w:line="340" w:lineRule="exact"/>
              <w:rPr>
                <w:rFonts w:hint="default" w:ascii="宋体" w:hAnsi="宋体" w:eastAsia="宋体"/>
                <w:color w:val="000000"/>
                <w:sz w:val="24"/>
                <w:lang w:val="en-US" w:eastAsia="zh-CN"/>
              </w:rPr>
            </w:pPr>
            <w:r>
              <w:rPr>
                <w:rFonts w:hint="eastAsia" w:ascii="宋体" w:hAnsi="宋体"/>
                <w:color w:val="000000"/>
                <w:sz w:val="24"/>
                <w:lang w:val="en-US" w:eastAsia="zh-CN"/>
              </w:rPr>
              <w:t>公司依照客户图纸进行加工，无更改</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0" w:type="dxa"/>
          </w:tcPr>
          <w:p>
            <w:pPr>
              <w:spacing w:before="120" w:line="320" w:lineRule="exact"/>
              <w:rPr>
                <w:rFonts w:hint="default" w:ascii="宋体" w:hAnsi="宋体" w:eastAsia="宋体"/>
                <w:szCs w:val="21"/>
                <w:lang w:val="en-US" w:eastAsia="zh-CN"/>
              </w:rPr>
            </w:pPr>
            <w:r>
              <w:rPr>
                <w:rFonts w:hint="eastAsia" w:ascii="宋体" w:hAnsi="宋体"/>
                <w:szCs w:val="21"/>
                <w:lang w:val="en-US" w:eastAsia="zh-CN"/>
              </w:rPr>
              <w:t>不合格输出的控制</w:t>
            </w:r>
          </w:p>
        </w:tc>
        <w:tc>
          <w:tcPr>
            <w:tcW w:w="960" w:type="dxa"/>
          </w:tcPr>
          <w:p>
            <w:pPr>
              <w:spacing w:before="120" w:line="340" w:lineRule="exact"/>
              <w:rPr>
                <w:rFonts w:ascii="宋体" w:hAnsi="宋体"/>
                <w:szCs w:val="21"/>
              </w:rPr>
            </w:pPr>
            <w:r>
              <w:rPr>
                <w:rFonts w:hint="eastAsia" w:ascii="宋体" w:hAnsi="宋体"/>
                <w:szCs w:val="21"/>
              </w:rPr>
              <w:t>Q</w:t>
            </w:r>
            <w:r>
              <w:rPr>
                <w:rFonts w:hint="eastAsia" w:ascii="宋体" w:hAnsi="宋体"/>
                <w:szCs w:val="21"/>
                <w:lang w:val="en-US" w:eastAsia="zh-CN"/>
              </w:rPr>
              <w:t>8.7</w:t>
            </w:r>
          </w:p>
        </w:tc>
        <w:tc>
          <w:tcPr>
            <w:tcW w:w="10004" w:type="dxa"/>
          </w:tcPr>
          <w:p>
            <w:pPr>
              <w:numPr>
                <w:ilvl w:val="0"/>
                <w:numId w:val="0"/>
              </w:numPr>
              <w:rPr>
                <w:rFonts w:hint="eastAsia"/>
                <w:sz w:val="24"/>
              </w:rPr>
            </w:pPr>
            <w:r>
              <w:rPr>
                <w:rFonts w:hint="eastAsia"/>
                <w:sz w:val="24"/>
                <w:lang w:val="en-US" w:eastAsia="zh-CN"/>
              </w:rPr>
              <w:t>编辑了《不合格输出控制程序》</w:t>
            </w:r>
            <w:r>
              <w:rPr>
                <w:rFonts w:hint="eastAsia"/>
                <w:sz w:val="24"/>
                <w:lang w:eastAsia="zh-CN"/>
              </w:rPr>
              <w:t>，</w:t>
            </w:r>
            <w:r>
              <w:rPr>
                <w:rFonts w:hint="eastAsia"/>
                <w:sz w:val="24"/>
              </w:rPr>
              <w:t>产品</w:t>
            </w:r>
            <w:r>
              <w:rPr>
                <w:rFonts w:hint="eastAsia"/>
                <w:sz w:val="24"/>
                <w:lang w:val="en-US" w:eastAsia="zh-CN"/>
              </w:rPr>
              <w:t>生产</w:t>
            </w:r>
            <w:r>
              <w:rPr>
                <w:rFonts w:hint="eastAsia"/>
                <w:sz w:val="24"/>
              </w:rPr>
              <w:t>或开始使用所发现的不合格品，经评审可以有以下处置办法：</w:t>
            </w:r>
            <w:r>
              <w:rPr>
                <w:rFonts w:hint="default" w:ascii="Calibri" w:hAnsi="Calibri" w:cs="Calibri"/>
                <w:sz w:val="24"/>
              </w:rPr>
              <w:t>①</w:t>
            </w:r>
            <w:r>
              <w:rPr>
                <w:rFonts w:hint="eastAsia"/>
                <w:sz w:val="24"/>
              </w:rPr>
              <w:t>生产过程发现不合格输出时，应对当前生产制止，已生产出产品隔离、并做好不合格标识； </w:t>
            </w:r>
            <w:r>
              <w:rPr>
                <w:rFonts w:hint="default" w:ascii="Calibri" w:hAnsi="Calibri" w:cs="Calibri"/>
                <w:sz w:val="24"/>
              </w:rPr>
              <w:t>②</w:t>
            </w:r>
            <w:r>
              <w:rPr>
                <w:rFonts w:hint="eastAsia"/>
                <w:sz w:val="24"/>
              </w:rPr>
              <w:t>交付合的产品发现不合格输出时，应停止提供产品和服务，及时与顾客协商，必要时召回产品； </w:t>
            </w:r>
            <w:r>
              <w:rPr>
                <w:rFonts w:hint="default" w:ascii="Calibri" w:hAnsi="Calibri" w:cs="Calibri"/>
                <w:sz w:val="24"/>
              </w:rPr>
              <w:t>③</w:t>
            </w:r>
            <w:r>
              <w:rPr>
                <w:rFonts w:hint="eastAsia"/>
                <w:sz w:val="24"/>
              </w:rPr>
              <w:t> 可疑产品由所在的责任部门直接通知对应的部门或车间的质量检验人员进行质量状态的确认，经确认合格的可以按正常生产流程转序或交付,检验判定为不合格的，按以上程序处理。</w:t>
            </w:r>
          </w:p>
          <w:p>
            <w:pPr>
              <w:numPr>
                <w:ilvl w:val="0"/>
                <w:numId w:val="0"/>
              </w:numPr>
              <w:rPr>
                <w:rFonts w:hint="default" w:ascii="宋体" w:hAnsi="宋体"/>
                <w:szCs w:val="21"/>
                <w:lang w:val="en-US" w:eastAsia="zh-CN"/>
              </w:rPr>
            </w:pPr>
            <w:r>
              <w:rPr>
                <w:rFonts w:hint="eastAsia"/>
                <w:sz w:val="24"/>
                <w:lang w:val="en-US" w:eastAsia="zh-CN"/>
              </w:rPr>
              <w:t>针对外部供方检测发现的不合格，由销售部、 质检部及生产部根据生产状况及质量不良现象会签，由总经理判定退货、加工使用或特采，针对不合格供方需加强管控，增加现场评鉴次数、加大抽查力度。</w:t>
            </w:r>
          </w:p>
        </w:tc>
        <w:tc>
          <w:tcPr>
            <w:tcW w:w="1585" w:type="dxa"/>
          </w:tcPr>
          <w:p>
            <w:pPr>
              <w:rPr>
                <w:rFonts w:hint="eastAsia"/>
                <w:sz w:val="24"/>
                <w:lang w:val="en-US" w:eastAsia="zh-CN"/>
              </w:rPr>
            </w:pPr>
            <w:r>
              <w:rPr>
                <w:rFonts w:hint="eastAsia"/>
                <w:sz w:val="24"/>
                <w:lang w:val="en-US" w:eastAsia="zh-CN"/>
              </w:rPr>
              <w:t>符合</w:t>
            </w:r>
          </w:p>
        </w:tc>
      </w:tr>
    </w:tbl>
    <w:p>
      <w:pPr>
        <w:rPr>
          <w:sz w:val="24"/>
        </w:rPr>
      </w:pPr>
      <w:r>
        <w:rPr>
          <w:sz w:val="24"/>
        </w:rPr>
        <w:ptab w:relativeTo="margin" w:alignment="center" w:leader="none"/>
      </w:r>
    </w:p>
    <w:p>
      <w:pPr>
        <w:pStyle w:val="3"/>
        <w:rPr>
          <w:sz w:val="24"/>
          <w:szCs w:val="24"/>
        </w:rPr>
      </w:pPr>
      <w:r>
        <w:rPr>
          <w:rFonts w:hint="eastAsia"/>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86192"/>
    <w:rsid w:val="000E6B21"/>
    <w:rsid w:val="000F0739"/>
    <w:rsid w:val="00110D78"/>
    <w:rsid w:val="00134769"/>
    <w:rsid w:val="0014219D"/>
    <w:rsid w:val="00145390"/>
    <w:rsid w:val="001A2D7F"/>
    <w:rsid w:val="001C064E"/>
    <w:rsid w:val="00213048"/>
    <w:rsid w:val="00216FAE"/>
    <w:rsid w:val="00241429"/>
    <w:rsid w:val="00275841"/>
    <w:rsid w:val="002939AD"/>
    <w:rsid w:val="002D658A"/>
    <w:rsid w:val="00314AF6"/>
    <w:rsid w:val="003264E6"/>
    <w:rsid w:val="00332648"/>
    <w:rsid w:val="00337922"/>
    <w:rsid w:val="00340867"/>
    <w:rsid w:val="003419A0"/>
    <w:rsid w:val="00380837"/>
    <w:rsid w:val="003A198A"/>
    <w:rsid w:val="003F62FC"/>
    <w:rsid w:val="00410914"/>
    <w:rsid w:val="004372CC"/>
    <w:rsid w:val="004A5B51"/>
    <w:rsid w:val="004A7746"/>
    <w:rsid w:val="004F580A"/>
    <w:rsid w:val="00522E08"/>
    <w:rsid w:val="00536930"/>
    <w:rsid w:val="00547011"/>
    <w:rsid w:val="005612C3"/>
    <w:rsid w:val="00564E53"/>
    <w:rsid w:val="005A7A5B"/>
    <w:rsid w:val="005B6089"/>
    <w:rsid w:val="005C1F70"/>
    <w:rsid w:val="005D5659"/>
    <w:rsid w:val="00600C20"/>
    <w:rsid w:val="00610808"/>
    <w:rsid w:val="00644FE2"/>
    <w:rsid w:val="0067640C"/>
    <w:rsid w:val="006E678B"/>
    <w:rsid w:val="006F23CB"/>
    <w:rsid w:val="0073408C"/>
    <w:rsid w:val="00736774"/>
    <w:rsid w:val="007757F3"/>
    <w:rsid w:val="007966C2"/>
    <w:rsid w:val="007C1B48"/>
    <w:rsid w:val="007E6AEB"/>
    <w:rsid w:val="00810E34"/>
    <w:rsid w:val="008970E9"/>
    <w:rsid w:val="008973EE"/>
    <w:rsid w:val="00897C3D"/>
    <w:rsid w:val="008B42A7"/>
    <w:rsid w:val="008C32D0"/>
    <w:rsid w:val="008D426A"/>
    <w:rsid w:val="009077E2"/>
    <w:rsid w:val="00932836"/>
    <w:rsid w:val="009610A6"/>
    <w:rsid w:val="00971600"/>
    <w:rsid w:val="00974EC4"/>
    <w:rsid w:val="009973B4"/>
    <w:rsid w:val="009C28C1"/>
    <w:rsid w:val="009F7EED"/>
    <w:rsid w:val="00A63327"/>
    <w:rsid w:val="00A80636"/>
    <w:rsid w:val="00AA1242"/>
    <w:rsid w:val="00AF0AAB"/>
    <w:rsid w:val="00B07A39"/>
    <w:rsid w:val="00B40E22"/>
    <w:rsid w:val="00B867D6"/>
    <w:rsid w:val="00BC355D"/>
    <w:rsid w:val="00BC3814"/>
    <w:rsid w:val="00BF597E"/>
    <w:rsid w:val="00C10626"/>
    <w:rsid w:val="00C27328"/>
    <w:rsid w:val="00C448DC"/>
    <w:rsid w:val="00C5030D"/>
    <w:rsid w:val="00C51A36"/>
    <w:rsid w:val="00C55228"/>
    <w:rsid w:val="00C63768"/>
    <w:rsid w:val="00C805F8"/>
    <w:rsid w:val="00CE315A"/>
    <w:rsid w:val="00D06F59"/>
    <w:rsid w:val="00D64638"/>
    <w:rsid w:val="00D8388C"/>
    <w:rsid w:val="00DC4FDD"/>
    <w:rsid w:val="00DD5226"/>
    <w:rsid w:val="00E41E00"/>
    <w:rsid w:val="00E6224C"/>
    <w:rsid w:val="00EB0164"/>
    <w:rsid w:val="00EB3181"/>
    <w:rsid w:val="00ED0F62"/>
    <w:rsid w:val="00ED3274"/>
    <w:rsid w:val="00F02AA1"/>
    <w:rsid w:val="00F5570C"/>
    <w:rsid w:val="00FA06E0"/>
    <w:rsid w:val="00FA4D8D"/>
    <w:rsid w:val="00FE13B9"/>
    <w:rsid w:val="029D0F9F"/>
    <w:rsid w:val="03CA4B50"/>
    <w:rsid w:val="04A316E9"/>
    <w:rsid w:val="07803860"/>
    <w:rsid w:val="09D10F21"/>
    <w:rsid w:val="0AAD57F6"/>
    <w:rsid w:val="0ED77207"/>
    <w:rsid w:val="108219C2"/>
    <w:rsid w:val="1479558F"/>
    <w:rsid w:val="16A928B6"/>
    <w:rsid w:val="1B8368DD"/>
    <w:rsid w:val="1CF562A5"/>
    <w:rsid w:val="1E0165C7"/>
    <w:rsid w:val="20B61E59"/>
    <w:rsid w:val="242C5DBB"/>
    <w:rsid w:val="25627536"/>
    <w:rsid w:val="28F85C4F"/>
    <w:rsid w:val="2E49736C"/>
    <w:rsid w:val="39FF5483"/>
    <w:rsid w:val="3ABF5A36"/>
    <w:rsid w:val="3D423A1B"/>
    <w:rsid w:val="3F425528"/>
    <w:rsid w:val="4472175D"/>
    <w:rsid w:val="48DC4B27"/>
    <w:rsid w:val="4BB078F2"/>
    <w:rsid w:val="506E41D5"/>
    <w:rsid w:val="55987003"/>
    <w:rsid w:val="55A941AB"/>
    <w:rsid w:val="577D242A"/>
    <w:rsid w:val="57B746D7"/>
    <w:rsid w:val="5EA12B9A"/>
    <w:rsid w:val="5FEB3E7C"/>
    <w:rsid w:val="60013AEF"/>
    <w:rsid w:val="63913316"/>
    <w:rsid w:val="672B1FDE"/>
    <w:rsid w:val="691C5764"/>
    <w:rsid w:val="6EFE43E4"/>
    <w:rsid w:val="71D618CF"/>
    <w:rsid w:val="757D7F2E"/>
    <w:rsid w:val="7A7949F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No Spacing"/>
    <w:qFormat/>
    <w:uiPriority w:val="0"/>
    <w:pPr>
      <w:widowControl w:val="0"/>
      <w:adjustRightInd w:val="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470</Words>
  <Characters>2684</Characters>
  <Lines>22</Lines>
  <Paragraphs>6</Paragraphs>
  <TotalTime>4</TotalTime>
  <ScaleCrop>false</ScaleCrop>
  <LinksUpToDate>false</LinksUpToDate>
  <CharactersWithSpaces>3148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2021-05-02T15:27:56Z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330117EA7BA54732B6158E96F028F390</vt:lpwstr>
  </property>
</Properties>
</file>