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left"/>
        <w:rPr>
          <w:rFonts w:hint="eastAsia"/>
          <w:sz w:val="24"/>
          <w:szCs w:val="24"/>
          <w:lang w:val="en-US" w:eastAsia="zh-CN"/>
        </w:rPr>
      </w:pPr>
      <w:r>
        <w:rPr>
          <w:rFonts w:hint="eastAsia"/>
          <w:sz w:val="24"/>
          <w:szCs w:val="24"/>
        </w:rPr>
        <w:t>受审核部门：</w:t>
      </w:r>
      <w:r>
        <w:rPr>
          <w:rFonts w:hint="eastAsia"/>
          <w:sz w:val="24"/>
          <w:szCs w:val="24"/>
          <w:lang w:val="en-US" w:eastAsia="zh-CN"/>
        </w:rPr>
        <w:t xml:space="preserve">管理层 综合部 生产部 销售部 财务部     </w:t>
      </w:r>
    </w:p>
    <w:p>
      <w:pPr>
        <w:spacing w:line="480" w:lineRule="exact"/>
        <w:jc w:val="left"/>
        <w:rPr>
          <w:rFonts w:hint="eastAsia" w:ascii="隶书" w:hAnsi="宋体" w:eastAsia="宋体"/>
          <w:bCs/>
          <w:color w:val="000000"/>
          <w:sz w:val="36"/>
          <w:szCs w:val="36"/>
          <w:lang w:val="en-US" w:eastAsia="zh-CN"/>
        </w:rPr>
      </w:pPr>
      <w:r>
        <w:rPr>
          <w:rFonts w:hint="eastAsia"/>
          <w:sz w:val="24"/>
          <w:szCs w:val="24"/>
        </w:rPr>
        <w:t>陪同人员：</w:t>
      </w:r>
      <w:bookmarkStart w:id="0" w:name="联系人"/>
      <w:r>
        <w:rPr>
          <w:rFonts w:hint="eastAsia"/>
          <w:sz w:val="24"/>
          <w:szCs w:val="24"/>
        </w:rPr>
        <w:t>张妙吟</w:t>
      </w:r>
      <w:bookmarkEnd w:id="0"/>
      <w:r>
        <w:rPr>
          <w:rFonts w:hint="eastAsia"/>
          <w:sz w:val="24"/>
          <w:szCs w:val="24"/>
          <w:lang w:val="en-US" w:eastAsia="zh-CN"/>
        </w:rPr>
        <w:t xml:space="preserve"> ，  </w:t>
      </w:r>
      <w:r>
        <w:rPr>
          <w:rFonts w:hint="eastAsia"/>
          <w:sz w:val="24"/>
          <w:szCs w:val="24"/>
        </w:rPr>
        <w:t>审核员：</w:t>
      </w:r>
      <w:r>
        <w:rPr>
          <w:rFonts w:hint="eastAsia"/>
          <w:sz w:val="24"/>
          <w:szCs w:val="24"/>
          <w:lang w:eastAsia="zh-CN"/>
        </w:rPr>
        <w:t>杨珍全</w:t>
      </w:r>
      <w:r>
        <w:rPr>
          <w:rFonts w:hint="eastAsia" w:ascii="Times New Roman" w:hAnsi="Times New Roman" w:eastAsia="宋体" w:cs="Times New Roman"/>
          <w:sz w:val="24"/>
          <w:szCs w:val="24"/>
          <w:lang w:eastAsia="zh-CN"/>
        </w:rPr>
        <w:t>、</w:t>
      </w:r>
      <w:r>
        <w:rPr>
          <w:rFonts w:hint="eastAsia"/>
          <w:sz w:val="24"/>
          <w:szCs w:val="24"/>
          <w:lang w:eastAsia="zh-CN"/>
        </w:rPr>
        <w:t>李渝姝</w:t>
      </w:r>
      <w:r>
        <w:rPr>
          <w:rFonts w:hint="eastAsia" w:cs="Times New Roman"/>
          <w:sz w:val="24"/>
          <w:szCs w:val="24"/>
          <w:lang w:val="en-US" w:eastAsia="zh-CN"/>
        </w:rPr>
        <w:t>（专家）</w:t>
      </w:r>
      <w:r>
        <w:rPr>
          <w:rFonts w:hint="eastAsia" w:cs="Times New Roman"/>
          <w:sz w:val="24"/>
          <w:szCs w:val="24"/>
          <w:lang w:eastAsia="zh-CN"/>
        </w:rPr>
        <w:t>，</w:t>
      </w:r>
      <w:r>
        <w:rPr>
          <w:rFonts w:hint="eastAsia"/>
          <w:sz w:val="24"/>
          <w:szCs w:val="24"/>
          <w:lang w:val="en-US" w:eastAsia="zh-CN"/>
        </w:rPr>
        <w:t xml:space="preserve">   </w:t>
      </w:r>
      <w:r>
        <w:rPr>
          <w:rFonts w:hint="eastAsia"/>
          <w:sz w:val="24"/>
          <w:szCs w:val="24"/>
        </w:rPr>
        <w:t>审核时间：</w:t>
      </w:r>
      <w:bookmarkStart w:id="1" w:name="审核开始日"/>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3</w:t>
      </w:r>
      <w:r>
        <w:rPr>
          <w:rFonts w:hint="eastAsia"/>
          <w:color w:val="000000"/>
          <w:szCs w:val="21"/>
        </w:rPr>
        <w:t>月</w:t>
      </w:r>
      <w:r>
        <w:rPr>
          <w:rFonts w:hint="eastAsia"/>
          <w:color w:val="000000"/>
          <w:szCs w:val="21"/>
          <w:lang w:val="en-US" w:eastAsia="zh-CN"/>
        </w:rPr>
        <w:t>15</w:t>
      </w:r>
      <w:r>
        <w:rPr>
          <w:rFonts w:hint="eastAsia"/>
          <w:color w:val="000000"/>
          <w:szCs w:val="21"/>
        </w:rPr>
        <w:t>日</w:t>
      </w:r>
      <w:bookmarkEnd w:id="1"/>
    </w:p>
    <w:tbl>
      <w:tblPr>
        <w:tblStyle w:val="6"/>
        <w:tblW w:w="1511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571"/>
        <w:gridCol w:w="1025"/>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11425" w:type="dxa"/>
            <w:gridSpan w:val="3"/>
            <w:shd w:val="clear" w:color="auto" w:fill="E6E6E6"/>
            <w:vAlign w:val="center"/>
          </w:tcPr>
          <w:p>
            <w:pPr>
              <w:spacing w:line="0" w:lineRule="atLeast"/>
              <w:jc w:val="center"/>
              <w:rPr>
                <w:rFonts w:hint="default" w:ascii="宋体" w:hAnsi="宋体" w:eastAsia="宋体"/>
                <w:szCs w:val="21"/>
                <w:lang w:val="en-US" w:eastAsia="zh-CN"/>
              </w:rPr>
            </w:pPr>
            <w:r>
              <w:rPr>
                <w:rFonts w:hint="eastAsia" w:ascii="宋体" w:hAnsi="宋体"/>
                <w:szCs w:val="21"/>
                <w:lang w:val="en-US" w:eastAsia="zh-CN"/>
              </w:rPr>
              <w:t>杨珍全、李渝姝（专家）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9571"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1025"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829"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企业简介、组织机构及场所、资质</w:t>
            </w:r>
          </w:p>
          <w:p>
            <w:pPr>
              <w:spacing w:line="400" w:lineRule="exact"/>
              <w:rPr>
                <w:rFonts w:ascii="宋体" w:hAnsi="宋体"/>
                <w:szCs w:val="21"/>
              </w:rPr>
            </w:pPr>
            <w:r>
              <w:rPr>
                <w:rFonts w:hint="eastAsia" w:ascii="宋体" w:hAnsi="宋体"/>
                <w:szCs w:val="21"/>
              </w:rPr>
              <w:t>QMS审核，询问主要设备、原材料、关键过程</w:t>
            </w:r>
          </w:p>
          <w:p>
            <w:pPr>
              <w:spacing w:line="400" w:lineRule="exact"/>
              <w:rPr>
                <w:rFonts w:ascii="宋体" w:hAnsi="宋体"/>
                <w:szCs w:val="21"/>
              </w:rPr>
            </w:pPr>
            <w:r>
              <w:rPr>
                <w:rFonts w:hint="eastAsia" w:ascii="宋体" w:hAnsi="宋体"/>
                <w:szCs w:val="21"/>
              </w:rPr>
              <w:t>EMS审核，询问有无以下场所</w:t>
            </w:r>
          </w:p>
          <w:p>
            <w:pPr>
              <w:spacing w:line="400" w:lineRule="exact"/>
              <w:rPr>
                <w:rFonts w:ascii="宋体" w:hAnsi="宋体"/>
                <w:szCs w:val="21"/>
              </w:rPr>
            </w:pPr>
            <w:r>
              <w:rPr>
                <w:rFonts w:hint="eastAsia" w:ascii="宋体" w:hAnsi="宋体"/>
                <w:szCs w:val="21"/>
              </w:rPr>
              <w:t>锅炉房、配电室、实验室、化学品库、污水处理站、食堂、宿舍、空压机房</w:t>
            </w:r>
          </w:p>
          <w:p>
            <w:pPr>
              <w:spacing w:line="400" w:lineRule="exact"/>
              <w:rPr>
                <w:rFonts w:ascii="宋体" w:hAnsi="宋体"/>
                <w:szCs w:val="21"/>
              </w:rPr>
            </w:pPr>
            <w:r>
              <w:rPr>
                <w:rFonts w:hint="eastAsia" w:ascii="宋体" w:hAnsi="宋体"/>
                <w:szCs w:val="21"/>
              </w:rPr>
              <w:t>管理体系运行时间（3 个月以上）</w:t>
            </w:r>
          </w:p>
          <w:p>
            <w:pPr>
              <w:spacing w:line="400" w:lineRule="exact"/>
              <w:rPr>
                <w:rFonts w:ascii="宋体" w:hAnsi="宋体"/>
                <w:szCs w:val="21"/>
              </w:rPr>
            </w:pPr>
            <w:r>
              <w:rPr>
                <w:rFonts w:hint="eastAsia" w:ascii="宋体" w:hAnsi="宋体"/>
                <w:szCs w:val="21"/>
              </w:rPr>
              <w:t>确认组织实际与管理体系文件化信息描述的一致性</w:t>
            </w:r>
          </w:p>
          <w:p>
            <w:pPr>
              <w:spacing w:line="400" w:lineRule="exact"/>
              <w:rPr>
                <w:rFonts w:ascii="宋体" w:hAnsi="宋体"/>
                <w:szCs w:val="21"/>
              </w:rPr>
            </w:pPr>
            <w:r>
              <w:rPr>
                <w:rFonts w:hint="eastAsia" w:ascii="宋体" w:hAnsi="宋体"/>
                <w:szCs w:val="21"/>
              </w:rPr>
              <w:t>（如部门设置和负责人，生产和服务等过程）</w:t>
            </w:r>
          </w:p>
          <w:p>
            <w:pPr>
              <w:spacing w:line="400" w:lineRule="exact"/>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pStyle w:val="2"/>
              <w:rPr>
                <w:rFonts w:hint="eastAsia"/>
              </w:rPr>
            </w:pPr>
          </w:p>
          <w:p>
            <w:pPr>
              <w:spacing w:line="400" w:lineRule="exact"/>
              <w:rPr>
                <w:rFonts w:ascii="宋体" w:hAnsi="宋体"/>
                <w:szCs w:val="21"/>
              </w:rPr>
            </w:pPr>
            <w:r>
              <w:rPr>
                <w:rFonts w:hint="eastAsia" w:ascii="宋体" w:hAnsi="宋体"/>
                <w:szCs w:val="21"/>
              </w:rPr>
              <w:t>管理体系文件名称</w:t>
            </w:r>
          </w:p>
        </w:tc>
        <w:tc>
          <w:tcPr>
            <w:tcW w:w="9571" w:type="dxa"/>
          </w:tcPr>
          <w:p>
            <w:pPr>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重庆科路思工贸有限责任公司，</w:t>
            </w:r>
            <w:r>
              <w:rPr>
                <w:rFonts w:hint="eastAsia" w:ascii="宋体" w:hAnsi="宋体" w:eastAsia="宋体" w:cs="Times New Roman"/>
                <w:szCs w:val="21"/>
                <w:lang w:val="en-US" w:eastAsia="zh-CN"/>
              </w:rPr>
              <w:t>位于</w:t>
            </w:r>
            <w:r>
              <w:rPr>
                <w:rFonts w:hint="eastAsia" w:ascii="宋体" w:hAnsi="宋体" w:eastAsia="宋体" w:cs="Times New Roman"/>
                <w:szCs w:val="21"/>
                <w:lang w:val="zh-CN"/>
              </w:rPr>
              <w:t>重庆市渝北区回兴街道翠屏二巷9号1幢。</w:t>
            </w:r>
            <w:r>
              <w:rPr>
                <w:rFonts w:hint="eastAsia" w:ascii="宋体" w:hAnsi="宋体" w:eastAsia="宋体" w:cs="Times New Roman"/>
                <w:szCs w:val="21"/>
                <w:lang w:val="en-US" w:eastAsia="zh-CN"/>
              </w:rPr>
              <w:t>是一家</w:t>
            </w:r>
            <w:r>
              <w:rPr>
                <w:rFonts w:hint="eastAsia" w:ascii="宋体" w:hAnsi="宋体" w:eastAsia="宋体" w:cs="Times New Roman"/>
                <w:szCs w:val="21"/>
                <w:lang w:eastAsia="zh-CN"/>
              </w:rPr>
              <w:t>专注于</w:t>
            </w:r>
            <w:r>
              <w:rPr>
                <w:rFonts w:hint="eastAsia" w:ascii="宋体" w:hAnsi="宋体" w:eastAsia="宋体" w:cs="Times New Roman"/>
                <w:szCs w:val="21"/>
                <w:lang w:val="zh-CN" w:eastAsia="zh-CN"/>
              </w:rPr>
              <w:t>生产和销售服装的企业</w:t>
            </w:r>
            <w:r>
              <w:rPr>
                <w:rFonts w:hint="eastAsia" w:ascii="宋体" w:hAnsi="宋体" w:eastAsia="宋体" w:cs="Times New Roman"/>
                <w:szCs w:val="21"/>
                <w:lang w:eastAsia="zh-CN"/>
              </w:rPr>
              <w:t>。现有员工</w:t>
            </w:r>
            <w:r>
              <w:rPr>
                <w:rFonts w:hint="eastAsia" w:ascii="宋体" w:hAnsi="宋体" w:eastAsia="宋体" w:cs="Times New Roman"/>
                <w:szCs w:val="21"/>
                <w:lang w:val="en-US" w:eastAsia="zh-CN"/>
              </w:rPr>
              <w:t>25</w:t>
            </w:r>
            <w:r>
              <w:rPr>
                <w:rFonts w:hint="eastAsia" w:ascii="宋体" w:hAnsi="宋体" w:eastAsia="宋体" w:cs="Times New Roman"/>
                <w:szCs w:val="21"/>
                <w:lang w:eastAsia="zh-CN"/>
              </w:rPr>
              <w:t>人，目前经营情况良好。</w:t>
            </w:r>
          </w:p>
          <w:p>
            <w:pPr>
              <w:spacing w:line="0" w:lineRule="atLeast"/>
              <w:ind w:firstLine="420" w:firstLineChars="200"/>
              <w:jc w:val="left"/>
              <w:rPr>
                <w:rFonts w:asciiTheme="minorEastAsia" w:hAnsiTheme="minorEastAsia" w:eastAsiaTheme="minorEastAsia" w:cstheme="minorEastAsia"/>
                <w:szCs w:val="21"/>
              </w:rPr>
            </w:pPr>
          </w:p>
          <w:p>
            <w:pPr>
              <w:spacing w:line="0" w:lineRule="atLeas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查见企业营业执照副本，企业经营范围包含认证产品，具备有效资格，详见复印件。</w:t>
            </w:r>
          </w:p>
          <w:p>
            <w:pPr>
              <w:spacing w:line="0" w:lineRule="atLeast"/>
              <w:ind w:firstLine="420" w:firstLineChars="200"/>
              <w:jc w:val="left"/>
              <w:rPr>
                <w:rFonts w:asciiTheme="minorEastAsia" w:hAnsiTheme="minorEastAsia" w:eastAsiaTheme="minorEastAsia" w:cstheme="minorEastAsia"/>
                <w:szCs w:val="21"/>
              </w:rPr>
            </w:pPr>
          </w:p>
          <w:p>
            <w:pPr>
              <w:spacing w:line="400" w:lineRule="exact"/>
              <w:ind w:firstLine="420" w:firstLineChars="200"/>
              <w:jc w:val="left"/>
              <w:rPr>
                <w:rFonts w:ascii="宋体" w:hAnsi="宋体"/>
                <w:szCs w:val="21"/>
              </w:rPr>
            </w:pPr>
            <w:r>
              <w:rPr>
                <w:rFonts w:hint="eastAsia" w:ascii="宋体" w:hAnsi="宋体"/>
                <w:szCs w:val="21"/>
              </w:rPr>
              <w:t>该公司目前成立了</w:t>
            </w:r>
            <w:r>
              <w:rPr>
                <w:rFonts w:hint="eastAsia" w:ascii="宋体" w:hAnsi="宋体"/>
                <w:szCs w:val="21"/>
                <w:lang w:eastAsia="zh-CN"/>
              </w:rPr>
              <w:t>四</w:t>
            </w:r>
            <w:r>
              <w:rPr>
                <w:rFonts w:hint="eastAsia" w:ascii="宋体" w:hAnsi="宋体"/>
                <w:szCs w:val="21"/>
              </w:rPr>
              <w:t>个部门：</w:t>
            </w:r>
            <w:r>
              <w:rPr>
                <w:rFonts w:hint="eastAsia" w:ascii="宋体" w:hAnsi="宋体" w:eastAsia="宋体" w:cs="Times New Roman"/>
                <w:szCs w:val="21"/>
                <w:lang w:val="en-US" w:eastAsia="zh-CN"/>
              </w:rPr>
              <w:t>综合部 生产部 销售部 财务部</w:t>
            </w:r>
            <w:r>
              <w:rPr>
                <w:rFonts w:hint="eastAsia" w:asciiTheme="minorEastAsia" w:hAnsiTheme="minorEastAsia" w:eastAsiaTheme="minorEastAsia" w:cstheme="minorEastAsia"/>
                <w:szCs w:val="21"/>
              </w:rPr>
              <w:t>。</w:t>
            </w:r>
          </w:p>
          <w:p>
            <w:pPr>
              <w:spacing w:line="400" w:lineRule="exact"/>
              <w:ind w:firstLine="420" w:firstLineChars="200"/>
              <w:jc w:val="left"/>
              <w:rPr>
                <w:rFonts w:hint="eastAsia" w:ascii="宋体" w:hAnsi="宋体"/>
                <w:szCs w:val="21"/>
              </w:rPr>
            </w:pPr>
            <w:r>
              <w:rPr>
                <w:rFonts w:hint="eastAsia" w:ascii="宋体" w:hAnsi="宋体"/>
                <w:szCs w:val="21"/>
              </w:rPr>
              <w:t>抽查：组织机构图、职能分配表、职责描述，基本保持一致。</w:t>
            </w:r>
          </w:p>
          <w:p>
            <w:pPr>
              <w:pStyle w:val="2"/>
              <w:rPr>
                <w:rFonts w:hint="eastAsia" w:ascii="宋体" w:hAnsi="宋体"/>
                <w:szCs w:val="21"/>
              </w:rPr>
            </w:pPr>
          </w:p>
          <w:p>
            <w:pPr>
              <w:spacing w:line="240" w:lineRule="atLeast"/>
              <w:ind w:left="630" w:hanging="630" w:hangingChars="300"/>
              <w:jc w:val="left"/>
              <w:rPr>
                <w:rFonts w:hint="eastAsia" w:ascii="宋体" w:hAnsi="宋体"/>
                <w:szCs w:val="21"/>
              </w:rPr>
            </w:pPr>
            <w:r>
              <w:rPr>
                <w:rFonts w:hint="eastAsia" w:ascii="宋体" w:hAnsi="宋体"/>
                <w:szCs w:val="21"/>
              </w:rPr>
              <w:t>核实：</w:t>
            </w:r>
            <w:r>
              <w:rPr>
                <w:rFonts w:hint="eastAsia"/>
                <w:color w:val="000000"/>
                <w:szCs w:val="21"/>
                <w:lang w:val="de-DE"/>
              </w:rPr>
              <w:t>生产经营地址</w:t>
            </w:r>
            <w:r>
              <w:rPr>
                <w:rFonts w:hint="eastAsia" w:ascii="宋体" w:hAnsi="宋体"/>
                <w:szCs w:val="21"/>
              </w:rPr>
              <w:t>：</w:t>
            </w:r>
            <w:r>
              <w:rPr>
                <w:rFonts w:hint="eastAsia"/>
                <w:lang w:eastAsia="zh-CN"/>
              </w:rPr>
              <w:t>重庆市渝北区回兴街道翠屏二巷9号1幢</w:t>
            </w:r>
            <w:r>
              <w:rPr>
                <w:rFonts w:hint="eastAsia"/>
              </w:rPr>
              <w:t>，与任务书一致</w:t>
            </w:r>
            <w:r>
              <w:rPr>
                <w:rFonts w:hint="eastAsia" w:ascii="宋体" w:hAnsi="宋体"/>
                <w:szCs w:val="21"/>
              </w:rPr>
              <w:t>。</w:t>
            </w:r>
          </w:p>
          <w:p>
            <w:pPr>
              <w:spacing w:line="400" w:lineRule="exact"/>
              <w:ind w:firstLine="420" w:firstLineChars="200"/>
              <w:jc w:val="left"/>
              <w:rPr>
                <w:rFonts w:ascii="宋体" w:hAnsi="宋体"/>
                <w:szCs w:val="21"/>
              </w:rPr>
            </w:pPr>
            <w:r>
              <w:rPr>
                <w:rFonts w:hint="eastAsia" w:ascii="宋体" w:hAnsi="宋体"/>
                <w:szCs w:val="21"/>
              </w:rPr>
              <w:t>经确认，认证范围为</w:t>
            </w:r>
          </w:p>
          <w:p>
            <w:pPr>
              <w:rPr>
                <w:rFonts w:hint="eastAsia" w:eastAsia="宋体"/>
                <w:color w:val="000000"/>
                <w:szCs w:val="21"/>
                <w:lang w:eastAsia="zh-CN"/>
              </w:rPr>
            </w:pPr>
            <w:bookmarkStart w:id="2" w:name="审核范围"/>
            <w:r>
              <w:rPr>
                <w:rFonts w:hint="eastAsia" w:ascii="宋体" w:hAnsi="宋体"/>
                <w:szCs w:val="21"/>
              </w:rPr>
              <w:t>Q</w:t>
            </w:r>
            <w:r>
              <w:rPr>
                <w:rFonts w:hint="eastAsia" w:ascii="宋体" w:hAnsi="宋体"/>
                <w:szCs w:val="21"/>
                <w:lang w:val="en-US" w:eastAsia="zh-CN"/>
              </w:rPr>
              <w:t>MS</w:t>
            </w:r>
            <w:r>
              <w:rPr>
                <w:rFonts w:hint="eastAsia" w:ascii="宋体" w:hAnsi="宋体"/>
                <w:szCs w:val="21"/>
              </w:rPr>
              <w:t>：</w:t>
            </w:r>
            <w:r>
              <w:rPr>
                <w:rFonts w:hint="eastAsia" w:ascii="宋体" w:hAnsi="宋体"/>
                <w:szCs w:val="21"/>
                <w:lang w:eastAsia="zh-CN"/>
              </w:rPr>
              <w:t>服装（工作服）生产</w:t>
            </w:r>
          </w:p>
          <w:p>
            <w:pPr>
              <w:rPr>
                <w:rFonts w:hint="eastAsia" w:ascii="宋体" w:hAnsi="宋体"/>
                <w:szCs w:val="21"/>
              </w:rPr>
            </w:pPr>
            <w:r>
              <w:rPr>
                <w:rFonts w:hint="eastAsia" w:ascii="宋体" w:hAnsi="宋体"/>
                <w:szCs w:val="21"/>
              </w:rPr>
              <w:t>E</w:t>
            </w:r>
            <w:r>
              <w:rPr>
                <w:rFonts w:hint="eastAsia" w:ascii="宋体" w:hAnsi="宋体"/>
                <w:szCs w:val="21"/>
                <w:lang w:val="en-US" w:eastAsia="zh-CN"/>
              </w:rPr>
              <w:t>MS</w:t>
            </w:r>
            <w:r>
              <w:rPr>
                <w:rFonts w:hint="eastAsia" w:ascii="宋体" w:hAnsi="宋体"/>
                <w:szCs w:val="21"/>
              </w:rPr>
              <w:t>：</w:t>
            </w:r>
            <w:r>
              <w:rPr>
                <w:rFonts w:hint="eastAsia" w:ascii="宋体" w:hAnsi="宋体"/>
                <w:szCs w:val="21"/>
                <w:lang w:eastAsia="zh-CN"/>
              </w:rPr>
              <w:t>服装（工作服）生产</w:t>
            </w:r>
            <w:r>
              <w:rPr>
                <w:rFonts w:hint="eastAsia" w:ascii="宋体" w:hAnsi="宋体"/>
                <w:szCs w:val="21"/>
              </w:rPr>
              <w:t>所涉及的相关环境管理活动</w:t>
            </w:r>
          </w:p>
          <w:p>
            <w:pPr>
              <w:rPr>
                <w:rFonts w:ascii="宋体" w:hAnsi="宋体"/>
                <w:szCs w:val="21"/>
              </w:rPr>
            </w:pPr>
            <w:r>
              <w:rPr>
                <w:rFonts w:hint="eastAsia" w:ascii="宋体" w:hAnsi="宋体"/>
                <w:szCs w:val="21"/>
              </w:rPr>
              <w:t>O</w:t>
            </w:r>
            <w:r>
              <w:rPr>
                <w:rFonts w:hint="eastAsia" w:ascii="宋体" w:hAnsi="宋体"/>
                <w:szCs w:val="21"/>
                <w:lang w:val="en-US" w:eastAsia="zh-CN"/>
              </w:rPr>
              <w:t>HSMS</w:t>
            </w:r>
            <w:r>
              <w:rPr>
                <w:rFonts w:hint="eastAsia" w:ascii="宋体" w:hAnsi="宋体"/>
                <w:szCs w:val="21"/>
              </w:rPr>
              <w:t>：</w:t>
            </w:r>
            <w:r>
              <w:rPr>
                <w:rFonts w:hint="eastAsia" w:ascii="宋体" w:hAnsi="宋体"/>
                <w:szCs w:val="21"/>
                <w:lang w:eastAsia="zh-CN"/>
              </w:rPr>
              <w:t>服装（工作服）生产</w:t>
            </w:r>
            <w:r>
              <w:rPr>
                <w:rFonts w:hint="eastAsia" w:ascii="宋体" w:hAnsi="宋体"/>
                <w:szCs w:val="21"/>
              </w:rPr>
              <w:t>所涉及的相关职业健康安全管理活动</w:t>
            </w:r>
            <w:bookmarkEnd w:id="2"/>
            <w:r>
              <w:rPr>
                <w:rFonts w:hint="eastAsia" w:ascii="宋体" w:hAnsi="宋体"/>
                <w:szCs w:val="21"/>
              </w:rPr>
              <w:t xml:space="preserve"> 。</w:t>
            </w:r>
          </w:p>
          <w:p>
            <w:pPr>
              <w:spacing w:line="400" w:lineRule="exact"/>
              <w:rPr>
                <w:rFonts w:ascii="宋体" w:hAnsi="宋体"/>
                <w:color w:val="FF0000"/>
                <w:szCs w:val="21"/>
                <w:highlight w:val="none"/>
              </w:rPr>
            </w:pPr>
            <w:r>
              <w:rPr>
                <w:rFonts w:hint="eastAsia" w:ascii="宋体" w:hAnsi="宋体"/>
                <w:szCs w:val="21"/>
              </w:rPr>
              <w:t xml:space="preserve">  </w:t>
            </w:r>
            <w:r>
              <w:rPr>
                <w:rFonts w:hint="eastAsia" w:ascii="宋体" w:hAnsi="宋体"/>
                <w:szCs w:val="21"/>
                <w:highlight w:val="none"/>
              </w:rPr>
              <w:t xml:space="preserve"> 询问，</w:t>
            </w:r>
            <w:r>
              <w:rPr>
                <w:rFonts w:hint="eastAsia" w:ascii="宋体" w:hAnsi="宋体" w:cs="宋体"/>
                <w:szCs w:val="21"/>
                <w:highlight w:val="none"/>
              </w:rPr>
              <w:t>主要设备为</w:t>
            </w:r>
            <w:r>
              <w:rPr>
                <w:rFonts w:hint="eastAsia" w:ascii="宋体" w:hAnsi="宋体" w:cs="宋体"/>
                <w:color w:val="000000" w:themeColor="text1"/>
                <w:sz w:val="21"/>
                <w:szCs w:val="21"/>
              </w:rPr>
              <w:t>电脑、办公设备、蒸汽发生器、电剪、缝纫机、锁眼机、双针机、 橡筋拉摆机、包缝机、打结机等</w:t>
            </w:r>
          </w:p>
          <w:p>
            <w:pPr>
              <w:rPr>
                <w:rFonts w:hint="eastAsia" w:ascii="宋体" w:hAnsi="宋体" w:eastAsia="宋体" w:cs="宋体"/>
                <w:color w:val="FF0000"/>
                <w:szCs w:val="21"/>
                <w:highlight w:val="none"/>
                <w:lang w:val="en-US" w:eastAsia="zh-CN"/>
              </w:rPr>
            </w:pPr>
          </w:p>
          <w:p>
            <w:pPr>
              <w:spacing w:line="400" w:lineRule="exact"/>
              <w:rPr>
                <w:rFonts w:hint="eastAsia" w:ascii="宋体" w:hAnsi="宋体" w:cs="宋体"/>
                <w:szCs w:val="21"/>
                <w:highlight w:val="none"/>
              </w:rPr>
            </w:pPr>
            <w:r>
              <w:rPr>
                <w:rFonts w:hint="eastAsia" w:ascii="宋体" w:hAnsi="宋体" w:cs="宋体"/>
                <w:szCs w:val="21"/>
                <w:highlight w:val="none"/>
              </w:rPr>
              <w:t>生产</w:t>
            </w:r>
            <w:r>
              <w:rPr>
                <w:rFonts w:hint="eastAsia" w:ascii="宋体" w:hAnsi="宋体" w:cs="宋体"/>
                <w:szCs w:val="21"/>
                <w:highlight w:val="none"/>
                <w:lang w:val="en-US" w:eastAsia="zh-CN"/>
              </w:rPr>
              <w:t>工艺流程</w:t>
            </w:r>
            <w:r>
              <w:rPr>
                <w:rFonts w:hint="eastAsia" w:ascii="宋体" w:hAnsi="宋体" w:cs="宋体"/>
                <w:szCs w:val="21"/>
                <w:highlight w:val="none"/>
              </w:rPr>
              <w:t>：</w:t>
            </w:r>
          </w:p>
          <w:p>
            <w:pPr>
              <w:spacing w:line="400" w:lineRule="exact"/>
              <w:rPr>
                <w:rFonts w:hint="eastAsia" w:ascii="宋体" w:hAnsi="宋体" w:cs="宋体"/>
                <w:szCs w:val="21"/>
                <w:highlight w:val="none"/>
              </w:rPr>
            </w:pPr>
            <w:r>
              <w:rPr>
                <w:rFonts w:hint="eastAsia" w:ascii="宋体" w:hAnsi="宋体" w:cs="宋体"/>
                <w:szCs w:val="21"/>
                <w:highlight w:val="none"/>
              </w:rPr>
              <w:t>合同签订----制版----剪裁----缝制---锁眼钉扣--整烫--检验----包装入库----交付</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rPr>
              <w:t>需确认/特殊过程：整烫</w:t>
            </w:r>
            <w:r>
              <w:rPr>
                <w:rFonts w:hint="eastAsia" w:ascii="宋体" w:hAnsi="宋体" w:cs="宋体"/>
                <w:szCs w:val="21"/>
                <w:highlight w:val="none"/>
                <w:lang w:val="en-US" w:eastAsia="zh-CN"/>
              </w:rPr>
              <w:t>。</w:t>
            </w:r>
          </w:p>
          <w:p>
            <w:pPr>
              <w:pStyle w:val="2"/>
              <w:rPr>
                <w:rFonts w:hint="eastAsia"/>
              </w:rPr>
            </w:pPr>
          </w:p>
          <w:p>
            <w:pPr>
              <w:spacing w:line="400" w:lineRule="exact"/>
              <w:jc w:val="left"/>
              <w:rPr>
                <w:rFonts w:ascii="宋体" w:hAnsi="宋体" w:cs="宋体"/>
                <w:szCs w:val="21"/>
              </w:rPr>
            </w:pPr>
            <w:r>
              <w:rPr>
                <w:rFonts w:hint="eastAsia" w:ascii="宋体" w:hAnsi="宋体" w:cs="宋体"/>
                <w:szCs w:val="21"/>
              </w:rPr>
              <w:t>查体系运行时间：20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w:t>
            </w:r>
          </w:p>
          <w:p>
            <w:pPr>
              <w:spacing w:line="400" w:lineRule="exact"/>
              <w:ind w:firstLine="420" w:firstLineChars="200"/>
              <w:jc w:val="left"/>
              <w:rPr>
                <w:rFonts w:hint="eastAsia" w:ascii="宋体" w:hAnsi="宋体" w:eastAsia="宋体" w:cs="Times New Roman"/>
                <w:szCs w:val="21"/>
              </w:rPr>
            </w:pPr>
            <w:r>
              <w:rPr>
                <w:rFonts w:hint="eastAsia" w:ascii="宋体" w:hAnsi="宋体"/>
                <w:szCs w:val="21"/>
              </w:rPr>
              <w:t>组织实际与管理体系文件化信息描述基本一致。有</w:t>
            </w:r>
            <w:r>
              <w:rPr>
                <w:rFonts w:hint="eastAsia" w:ascii="宋体" w:hAnsi="宋体" w:eastAsia="宋体" w:cs="Times New Roman"/>
                <w:szCs w:val="21"/>
                <w:lang w:val="en-US" w:eastAsia="zh-CN"/>
              </w:rPr>
              <w:t xml:space="preserve">管理层 综合部 生产部 销售部 财务部 </w:t>
            </w:r>
            <w:r>
              <w:rPr>
                <w:rFonts w:hint="eastAsia" w:ascii="宋体" w:hAnsi="宋体" w:eastAsia="宋体" w:cs="Times New Roman"/>
                <w:szCs w:val="21"/>
              </w:rPr>
              <w:t>。</w:t>
            </w:r>
          </w:p>
          <w:p>
            <w:pPr>
              <w:spacing w:line="400" w:lineRule="exact"/>
              <w:ind w:firstLine="420" w:firstLineChars="200"/>
              <w:rPr>
                <w:rFonts w:ascii="宋体" w:hAnsi="宋体"/>
                <w:color w:val="FF0000"/>
                <w:szCs w:val="21"/>
              </w:rPr>
            </w:pPr>
            <w:r>
              <w:rPr>
                <w:rFonts w:hint="eastAsia" w:ascii="宋体" w:hAnsi="宋体"/>
                <w:szCs w:val="21"/>
              </w:rPr>
              <w:t>产品流程见《作业流程》</w:t>
            </w:r>
          </w:p>
          <w:p>
            <w:pPr>
              <w:spacing w:line="440" w:lineRule="exact"/>
              <w:rPr>
                <w:rFonts w:ascii="宋体" w:hAnsi="宋体"/>
                <w:kern w:val="44"/>
                <w:szCs w:val="21"/>
              </w:rPr>
            </w:pPr>
            <w:r>
              <w:rPr>
                <w:rFonts w:hint="eastAsia" w:ascii="宋体" w:hAnsi="宋体"/>
                <w:color w:val="000000"/>
                <w:szCs w:val="21"/>
              </w:rPr>
              <w:t>查，</w:t>
            </w:r>
            <w:r>
              <w:rPr>
                <w:rFonts w:hint="eastAsia" w:ascii="宋体" w:hAnsi="宋体"/>
                <w:szCs w:val="21"/>
              </w:rPr>
              <w:t>管理体系文件名称</w:t>
            </w:r>
            <w:r>
              <w:rPr>
                <w:rFonts w:hint="eastAsia" w:ascii="宋体" w:hAnsi="宋体"/>
                <w:color w:val="000000"/>
                <w:szCs w:val="21"/>
              </w:rPr>
              <w:t>：</w:t>
            </w:r>
            <w:r>
              <w:rPr>
                <w:rFonts w:hint="eastAsia" w:ascii="宋体" w:hAnsi="宋体"/>
                <w:kern w:val="44"/>
                <w:szCs w:val="21"/>
                <w:lang w:eastAsia="zh-CN"/>
              </w:rPr>
              <w:t>管理手册</w:t>
            </w:r>
            <w:r>
              <w:rPr>
                <w:rFonts w:hint="eastAsia" w:ascii="宋体" w:hAnsi="宋体"/>
                <w:kern w:val="44"/>
                <w:szCs w:val="21"/>
              </w:rPr>
              <w:t>，程序文件2</w:t>
            </w:r>
            <w:r>
              <w:rPr>
                <w:rFonts w:hint="eastAsia" w:ascii="宋体" w:hAnsi="宋体"/>
                <w:kern w:val="44"/>
                <w:szCs w:val="21"/>
                <w:lang w:val="en-US" w:eastAsia="zh-CN"/>
              </w:rPr>
              <w:t>7</w:t>
            </w:r>
            <w:r>
              <w:rPr>
                <w:rFonts w:hint="eastAsia" w:ascii="宋体" w:hAnsi="宋体"/>
                <w:kern w:val="44"/>
                <w:szCs w:val="21"/>
              </w:rPr>
              <w:t>个。</w:t>
            </w:r>
          </w:p>
        </w:tc>
        <w:tc>
          <w:tcPr>
            <w:tcW w:w="1025"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4.1;4.2;4.3;4.4</w:t>
            </w: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c>
          <w:tcPr>
            <w:tcW w:w="829" w:type="dxa"/>
          </w:tcPr>
          <w:p>
            <w:pPr>
              <w:spacing w:line="440" w:lineRule="exact"/>
              <w:jc w:val="center"/>
              <w:rPr>
                <w:rFonts w:ascii="宋体" w:hAnsi="宋体"/>
                <w:szCs w:val="21"/>
              </w:rPr>
            </w:pPr>
            <w:r>
              <w:rPr>
                <w:rFonts w:hint="eastAsia" w:ascii="宋体" w:hAnsi="宋体"/>
                <w:szCs w:val="21"/>
              </w:rPr>
              <w:t>符合</w:t>
            </w: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 w:val="21"/>
                <w:szCs w:val="21"/>
                <w:highlight w:val="none"/>
              </w:rPr>
            </w:pPr>
            <w:r>
              <w:rPr>
                <w:rFonts w:hint="eastAsia" w:ascii="宋体" w:hAnsi="宋体"/>
                <w:sz w:val="21"/>
                <w:szCs w:val="21"/>
                <w:highlight w:val="none"/>
              </w:rPr>
              <w:t>方针及目标、指标及方案</w:t>
            </w:r>
          </w:p>
          <w:p>
            <w:pPr>
              <w:spacing w:line="400" w:lineRule="exact"/>
              <w:rPr>
                <w:rFonts w:ascii="宋体" w:hAnsi="宋体"/>
                <w:sz w:val="21"/>
                <w:szCs w:val="21"/>
                <w:highlight w:val="none"/>
              </w:rPr>
            </w:pPr>
          </w:p>
        </w:tc>
        <w:tc>
          <w:tcPr>
            <w:tcW w:w="9571" w:type="dxa"/>
          </w:tcPr>
          <w:p>
            <w:pPr>
              <w:jc w:val="left"/>
              <w:rPr>
                <w:rFonts w:hint="eastAsia" w:ascii="宋体" w:hAnsi="宋体"/>
                <w:b w:val="0"/>
                <w:bCs w:val="0"/>
                <w:sz w:val="21"/>
                <w:szCs w:val="21"/>
              </w:rPr>
            </w:pPr>
            <w:r>
              <w:rPr>
                <w:rFonts w:hint="eastAsia" w:ascii="宋体" w:hAnsi="宋体"/>
                <w:b w:val="0"/>
                <w:bCs w:val="0"/>
                <w:sz w:val="21"/>
                <w:szCs w:val="21"/>
              </w:rPr>
              <w:t>质量</w:t>
            </w:r>
            <w:r>
              <w:rPr>
                <w:rFonts w:hint="eastAsia" w:ascii="宋体" w:hAnsi="宋体"/>
                <w:b w:val="0"/>
                <w:bCs w:val="0"/>
                <w:sz w:val="21"/>
                <w:szCs w:val="21"/>
                <w:lang w:eastAsia="zh-CN"/>
              </w:rPr>
              <w:t>、</w:t>
            </w:r>
            <w:r>
              <w:rPr>
                <w:rFonts w:hint="eastAsia" w:asciiTheme="minorEastAsia" w:hAnsiTheme="minorEastAsia" w:eastAsiaTheme="minorEastAsia" w:cstheme="minorEastAsia"/>
                <w:b w:val="0"/>
                <w:bCs w:val="0"/>
                <w:sz w:val="21"/>
                <w:szCs w:val="21"/>
              </w:rPr>
              <w:t>环境、职业健康安全</w:t>
            </w:r>
            <w:r>
              <w:rPr>
                <w:rFonts w:hint="eastAsia" w:ascii="宋体" w:hAnsi="宋体"/>
                <w:b w:val="0"/>
                <w:bCs w:val="0"/>
                <w:sz w:val="21"/>
                <w:szCs w:val="21"/>
              </w:rPr>
              <w:t xml:space="preserve">方针： </w:t>
            </w:r>
          </w:p>
          <w:p>
            <w:pPr>
              <w:ind w:firstLine="630" w:firstLineChars="300"/>
              <w:jc w:val="left"/>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质量第一，信誉第一，用户至上；</w:t>
            </w:r>
          </w:p>
          <w:p>
            <w:pPr>
              <w:ind w:firstLine="630" w:firstLineChars="300"/>
              <w:jc w:val="left"/>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节能降耗，防治污染，保护环境；</w:t>
            </w:r>
          </w:p>
          <w:p>
            <w:pPr>
              <w:ind w:firstLine="630" w:firstLineChars="300"/>
              <w:jc w:val="left"/>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安全第一，保障健康，减少风险；</w:t>
            </w:r>
          </w:p>
          <w:p>
            <w:pPr>
              <w:ind w:firstLine="630" w:firstLineChars="300"/>
              <w:jc w:val="left"/>
              <w:rPr>
                <w:rFonts w:hint="eastAsia" w:ascii="宋体" w:hAnsi="宋体" w:eastAsia="宋体" w:cs="Times New Roman"/>
                <w:b w:val="0"/>
                <w:bCs w:val="0"/>
                <w:sz w:val="21"/>
                <w:szCs w:val="21"/>
                <w:lang w:eastAsia="zh-CN"/>
              </w:rPr>
            </w:pPr>
            <w:r>
              <w:rPr>
                <w:rFonts w:hint="eastAsia" w:ascii="宋体" w:hAnsi="宋体" w:eastAsia="宋体" w:cs="Times New Roman"/>
                <w:b w:val="0"/>
                <w:bCs w:val="0"/>
                <w:sz w:val="21"/>
                <w:szCs w:val="21"/>
              </w:rPr>
              <w:t>全员参与，遵守法规，持续改进</w:t>
            </w:r>
            <w:r>
              <w:rPr>
                <w:rFonts w:hint="eastAsia" w:ascii="宋体" w:hAnsi="宋体" w:cs="Times New Roman"/>
                <w:b w:val="0"/>
                <w:bCs w:val="0"/>
                <w:sz w:val="21"/>
                <w:szCs w:val="21"/>
                <w:lang w:eastAsia="zh-CN"/>
              </w:rPr>
              <w:t>。</w:t>
            </w:r>
          </w:p>
          <w:p>
            <w:pPr>
              <w:pStyle w:val="2"/>
              <w:rPr>
                <w:rFonts w:hint="eastAsia"/>
              </w:rPr>
            </w:pPr>
          </w:p>
          <w:p>
            <w:pPr>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质量目标：</w:t>
            </w:r>
          </w:p>
          <w:p>
            <w:pPr>
              <w:pStyle w:val="13"/>
              <w:spacing w:line="360" w:lineRule="auto"/>
              <w:ind w:firstLine="630" w:firstLineChars="300"/>
              <w:jc w:val="left"/>
              <w:rPr>
                <w:rFonts w:hint="eastAsia"/>
                <w:sz w:val="21"/>
                <w:szCs w:val="21"/>
              </w:rPr>
            </w:pPr>
            <w:r>
              <w:rPr>
                <w:rFonts w:hint="eastAsia"/>
                <w:sz w:val="21"/>
                <w:szCs w:val="21"/>
              </w:rPr>
              <w:t>a) 产品一次检验合格率≥98% ；</w:t>
            </w:r>
          </w:p>
          <w:p>
            <w:pPr>
              <w:pStyle w:val="13"/>
              <w:spacing w:line="360" w:lineRule="auto"/>
              <w:ind w:firstLine="630" w:firstLineChars="300"/>
              <w:jc w:val="left"/>
              <w:rPr>
                <w:rFonts w:hint="eastAsia"/>
                <w:sz w:val="21"/>
                <w:szCs w:val="21"/>
              </w:rPr>
            </w:pPr>
            <w:r>
              <w:rPr>
                <w:rFonts w:hint="eastAsia"/>
                <w:sz w:val="21"/>
                <w:szCs w:val="21"/>
              </w:rPr>
              <w:t xml:space="preserve">b) 产品按期交付率≥98%； </w:t>
            </w:r>
          </w:p>
          <w:p>
            <w:pPr>
              <w:pStyle w:val="13"/>
              <w:spacing w:line="360" w:lineRule="auto"/>
              <w:ind w:firstLine="630" w:firstLineChars="300"/>
              <w:jc w:val="left"/>
              <w:rPr>
                <w:rFonts w:hint="eastAsia"/>
                <w:sz w:val="21"/>
                <w:szCs w:val="21"/>
              </w:rPr>
            </w:pPr>
            <w:r>
              <w:rPr>
                <w:rFonts w:hint="eastAsia"/>
                <w:sz w:val="21"/>
                <w:szCs w:val="21"/>
              </w:rPr>
              <w:t>c) 顾客满意度为95分以上</w:t>
            </w:r>
          </w:p>
          <w:p>
            <w:pPr>
              <w:pStyle w:val="2"/>
              <w:rPr>
                <w:rFonts w:hint="eastAsia" w:eastAsiaTheme="minorEastAsia"/>
                <w:lang w:eastAsia="zh-CN"/>
              </w:rPr>
            </w:pPr>
            <w:r>
              <w:rPr>
                <w:rFonts w:hint="eastAsia" w:asciiTheme="minorEastAsia" w:hAnsiTheme="minorEastAsia" w:eastAsiaTheme="minorEastAsia" w:cstheme="minorEastAsia"/>
                <w:b w:val="0"/>
                <w:bCs w:val="0"/>
                <w:sz w:val="21"/>
                <w:szCs w:val="21"/>
              </w:rPr>
              <w:t>环境、职业健康安全目标</w:t>
            </w:r>
            <w:r>
              <w:rPr>
                <w:rFonts w:hint="eastAsia" w:asciiTheme="minorEastAsia" w:hAnsiTheme="minorEastAsia" w:eastAsiaTheme="minorEastAsia" w:cstheme="minorEastAsia"/>
                <w:b w:val="0"/>
                <w:bCs w:val="0"/>
                <w:sz w:val="21"/>
                <w:szCs w:val="21"/>
                <w:lang w:eastAsia="zh-CN"/>
              </w:rPr>
              <w:t>：</w:t>
            </w:r>
          </w:p>
          <w:p>
            <w:pPr>
              <w:pStyle w:val="13"/>
              <w:spacing w:line="360" w:lineRule="auto"/>
              <w:ind w:firstLine="630" w:firstLineChars="300"/>
              <w:jc w:val="left"/>
              <w:rPr>
                <w:sz w:val="21"/>
                <w:szCs w:val="21"/>
              </w:rPr>
            </w:pPr>
            <w:r>
              <w:rPr>
                <w:rFonts w:hint="eastAsia"/>
                <w:sz w:val="21"/>
                <w:szCs w:val="21"/>
              </w:rPr>
              <w:t>a) 固废分类回收处理率100%；</w:t>
            </w:r>
          </w:p>
          <w:p>
            <w:pPr>
              <w:pStyle w:val="13"/>
              <w:spacing w:line="360" w:lineRule="auto"/>
              <w:ind w:firstLine="630" w:firstLineChars="300"/>
              <w:jc w:val="left"/>
              <w:rPr>
                <w:rFonts w:hint="eastAsia"/>
                <w:sz w:val="21"/>
                <w:szCs w:val="21"/>
              </w:rPr>
            </w:pPr>
            <w:r>
              <w:rPr>
                <w:rFonts w:hint="eastAsia"/>
                <w:sz w:val="21"/>
                <w:szCs w:val="21"/>
              </w:rPr>
              <w:t>b)</w:t>
            </w:r>
            <w:r>
              <w:rPr>
                <w:sz w:val="21"/>
                <w:szCs w:val="21"/>
              </w:rPr>
              <w:t xml:space="preserve"> </w:t>
            </w:r>
            <w:r>
              <w:rPr>
                <w:rFonts w:hint="eastAsia"/>
                <w:sz w:val="21"/>
                <w:szCs w:val="21"/>
              </w:rPr>
              <w:t>噪声达标排放；</w:t>
            </w:r>
          </w:p>
          <w:p>
            <w:pPr>
              <w:pStyle w:val="13"/>
              <w:spacing w:line="360" w:lineRule="auto"/>
              <w:ind w:firstLine="630" w:firstLineChars="300"/>
              <w:jc w:val="left"/>
              <w:rPr>
                <w:sz w:val="21"/>
                <w:szCs w:val="21"/>
              </w:rPr>
            </w:pPr>
            <w:r>
              <w:rPr>
                <w:rFonts w:hint="eastAsia"/>
                <w:sz w:val="21"/>
                <w:szCs w:val="21"/>
              </w:rPr>
              <w:t>c)</w:t>
            </w:r>
            <w:r>
              <w:rPr>
                <w:sz w:val="21"/>
                <w:szCs w:val="21"/>
              </w:rPr>
              <w:t xml:space="preserve"> </w:t>
            </w:r>
            <w:r>
              <w:rPr>
                <w:rFonts w:hint="eastAsia"/>
                <w:sz w:val="21"/>
                <w:szCs w:val="21"/>
              </w:rPr>
              <w:t>废水达标排放；</w:t>
            </w:r>
          </w:p>
          <w:p>
            <w:pPr>
              <w:pStyle w:val="13"/>
              <w:spacing w:line="360" w:lineRule="auto"/>
              <w:ind w:firstLine="630" w:firstLineChars="300"/>
              <w:jc w:val="left"/>
              <w:rPr>
                <w:sz w:val="21"/>
                <w:szCs w:val="21"/>
              </w:rPr>
            </w:pPr>
            <w:r>
              <w:rPr>
                <w:rFonts w:hint="eastAsia"/>
                <w:sz w:val="21"/>
                <w:szCs w:val="21"/>
              </w:rPr>
              <w:t>d)</w:t>
            </w:r>
            <w:r>
              <w:rPr>
                <w:sz w:val="21"/>
                <w:szCs w:val="21"/>
              </w:rPr>
              <w:t xml:space="preserve"> </w:t>
            </w:r>
            <w:r>
              <w:rPr>
                <w:rFonts w:hint="eastAsia"/>
                <w:sz w:val="21"/>
                <w:szCs w:val="21"/>
              </w:rPr>
              <w:t>火灾事故为0；</w:t>
            </w:r>
          </w:p>
          <w:p>
            <w:pPr>
              <w:pStyle w:val="13"/>
              <w:spacing w:line="360" w:lineRule="auto"/>
              <w:ind w:firstLine="630" w:firstLineChars="300"/>
              <w:jc w:val="left"/>
              <w:rPr>
                <w:sz w:val="21"/>
                <w:szCs w:val="21"/>
              </w:rPr>
            </w:pPr>
            <w:r>
              <w:rPr>
                <w:rFonts w:hint="eastAsia"/>
                <w:sz w:val="21"/>
                <w:szCs w:val="21"/>
              </w:rPr>
              <w:t>e) 触电事故为0；</w:t>
            </w:r>
            <w:r>
              <w:rPr>
                <w:sz w:val="21"/>
                <w:szCs w:val="21"/>
              </w:rPr>
              <w:t xml:space="preserve"> </w:t>
            </w:r>
          </w:p>
          <w:p>
            <w:pPr>
              <w:pStyle w:val="13"/>
              <w:spacing w:line="360" w:lineRule="auto"/>
              <w:ind w:firstLine="630" w:firstLineChars="300"/>
              <w:jc w:val="left"/>
              <w:rPr>
                <w:rFonts w:hint="eastAsia" w:ascii="宋体" w:hAnsi="宋体"/>
                <w:b w:val="0"/>
                <w:bCs w:val="0"/>
                <w:sz w:val="21"/>
                <w:szCs w:val="21"/>
              </w:rPr>
            </w:pPr>
            <w:r>
              <w:rPr>
                <w:rFonts w:hint="eastAsia"/>
                <w:sz w:val="21"/>
                <w:szCs w:val="21"/>
              </w:rPr>
              <w:t>f) 机械伤害事故为0</w:t>
            </w:r>
          </w:p>
          <w:p>
            <w:pPr>
              <w:spacing w:line="360" w:lineRule="auto"/>
              <w:jc w:val="left"/>
              <w:rPr>
                <w:rFonts w:ascii="宋体" w:hAnsi="宋体"/>
                <w:sz w:val="21"/>
                <w:szCs w:val="21"/>
                <w:highlight w:val="none"/>
              </w:rPr>
            </w:pPr>
            <w:r>
              <w:rPr>
                <w:rFonts w:hint="eastAsia" w:asciiTheme="minorEastAsia" w:hAnsiTheme="minorEastAsia" w:eastAsiaTheme="minorEastAsia" w:cstheme="minorEastAsia"/>
                <w:sz w:val="21"/>
                <w:szCs w:val="21"/>
                <w:highlight w:val="none"/>
              </w:rPr>
              <w:t>拟定有管理方案和预案。</w:t>
            </w:r>
          </w:p>
        </w:tc>
        <w:tc>
          <w:tcPr>
            <w:tcW w:w="1025"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5.1;6.2</w:t>
            </w:r>
          </w:p>
          <w:p>
            <w:pPr>
              <w:spacing w:line="440" w:lineRule="exact"/>
              <w:jc w:val="center"/>
              <w:rPr>
                <w:rFonts w:ascii="宋体" w:hAnsi="宋体"/>
                <w:szCs w:val="21"/>
              </w:rPr>
            </w:pPr>
          </w:p>
        </w:tc>
        <w:tc>
          <w:tcPr>
            <w:tcW w:w="829" w:type="dxa"/>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内部审核：</w:t>
            </w: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审核组</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不符合及整改</w:t>
            </w:r>
          </w:p>
          <w:p>
            <w:pPr>
              <w:spacing w:line="400" w:lineRule="exact"/>
              <w:rPr>
                <w:rFonts w:ascii="宋体" w:hAnsi="宋体"/>
                <w:szCs w:val="21"/>
              </w:rPr>
            </w:pPr>
          </w:p>
        </w:tc>
        <w:tc>
          <w:tcPr>
            <w:tcW w:w="9571" w:type="dxa"/>
          </w:tcPr>
          <w:p>
            <w:pPr>
              <w:spacing w:line="400" w:lineRule="exact"/>
              <w:rPr>
                <w:rFonts w:ascii="宋体" w:hAnsi="宋体"/>
                <w:szCs w:val="21"/>
              </w:rPr>
            </w:pPr>
            <w:r>
              <w:rPr>
                <w:rFonts w:hint="eastAsia" w:ascii="宋体" w:hAnsi="宋体"/>
                <w:szCs w:val="21"/>
              </w:rPr>
              <w:t>建立有《内部审核程序》</w:t>
            </w:r>
          </w:p>
          <w:p>
            <w:pPr>
              <w:spacing w:line="400" w:lineRule="exact"/>
              <w:rPr>
                <w:rFonts w:ascii="宋体" w:hAnsi="宋体"/>
                <w:szCs w:val="21"/>
              </w:rPr>
            </w:pPr>
            <w:r>
              <w:rPr>
                <w:rFonts w:hint="eastAsia" w:ascii="宋体" w:hAnsi="宋体"/>
                <w:szCs w:val="21"/>
              </w:rPr>
              <w:t xml:space="preserve">见有《内部审核计划表》 </w:t>
            </w:r>
          </w:p>
          <w:p>
            <w:pPr>
              <w:spacing w:line="400" w:lineRule="exact"/>
              <w:rPr>
                <w:rFonts w:hint="default" w:ascii="宋体" w:hAnsi="宋体" w:eastAsia="宋体"/>
                <w:szCs w:val="21"/>
                <w:lang w:val="en-US" w:eastAsia="zh-CN"/>
              </w:rPr>
            </w:pPr>
            <w:r>
              <w:rPr>
                <w:rFonts w:hint="eastAsia" w:ascii="宋体" w:hAnsi="宋体"/>
                <w:szCs w:val="21"/>
              </w:rPr>
              <w:t>内审时间</w:t>
            </w:r>
            <w:r>
              <w:rPr>
                <w:rFonts w:hint="eastAsia" w:ascii="宋体" w:hAnsi="宋体" w:eastAsia="宋体" w:cs="Times New Roman"/>
                <w:szCs w:val="21"/>
              </w:rPr>
              <w:t>：2020年12月14日-15日</w:t>
            </w:r>
          </w:p>
          <w:p>
            <w:pPr>
              <w:spacing w:line="400" w:lineRule="exact"/>
              <w:rPr>
                <w:rFonts w:hint="eastAsia" w:ascii="宋体" w:hAnsi="宋体" w:eastAsia="宋体" w:cs="Times New Roman"/>
                <w:color w:val="auto"/>
                <w:szCs w:val="21"/>
              </w:rPr>
            </w:pPr>
            <w:r>
              <w:rPr>
                <w:rFonts w:hint="eastAsia" w:ascii="宋体" w:hAnsi="宋体"/>
                <w:szCs w:val="21"/>
              </w:rPr>
              <w:t>内审组</w:t>
            </w:r>
            <w:r>
              <w:rPr>
                <w:rFonts w:hint="eastAsia" w:ascii="宋体" w:hAnsi="宋体" w:eastAsia="宋体" w:cs="Times New Roman"/>
                <w:szCs w:val="21"/>
              </w:rPr>
              <w:t>：组长：张渝      组员：陈富木。</w:t>
            </w:r>
          </w:p>
          <w:p>
            <w:pPr>
              <w:spacing w:line="400" w:lineRule="exact"/>
              <w:rPr>
                <w:rFonts w:hint="eastAsia" w:ascii="宋体" w:hAnsi="宋体" w:cs="Times New Roman"/>
                <w:szCs w:val="21"/>
                <w:lang w:eastAsia="zh-CN"/>
              </w:rPr>
            </w:pPr>
            <w:r>
              <w:rPr>
                <w:rFonts w:hint="eastAsia" w:ascii="宋体" w:hAnsi="宋体"/>
                <w:szCs w:val="21"/>
              </w:rPr>
              <w:t>见有：</w:t>
            </w:r>
            <w:r>
              <w:rPr>
                <w:rFonts w:hint="eastAsia" w:ascii="宋体" w:hAnsi="宋体" w:cs="Times New Roman"/>
                <w:szCs w:val="21"/>
                <w:lang w:eastAsia="zh-CN"/>
              </w:rPr>
              <w:t>《内审不符合项报告》</w:t>
            </w:r>
            <w:r>
              <w:rPr>
                <w:rFonts w:hint="eastAsia" w:ascii="宋体" w:hAnsi="宋体" w:cs="Times New Roman"/>
                <w:szCs w:val="21"/>
                <w:lang w:val="en-US" w:eastAsia="zh-CN"/>
              </w:rPr>
              <w:t>1</w:t>
            </w:r>
            <w:r>
              <w:rPr>
                <w:rFonts w:hint="eastAsia" w:ascii="宋体" w:hAnsi="宋体" w:cs="Times New Roman"/>
                <w:szCs w:val="21"/>
                <w:lang w:eastAsia="zh-CN"/>
              </w:rPr>
              <w:t>份，涉及</w:t>
            </w:r>
            <w:r>
              <w:rPr>
                <w:rFonts w:hint="eastAsia" w:ascii="宋体" w:hAnsi="宋体" w:cs="Times New Roman"/>
                <w:szCs w:val="21"/>
                <w:lang w:val="en-US" w:eastAsia="zh-CN"/>
              </w:rPr>
              <w:t>销售</w:t>
            </w:r>
            <w:r>
              <w:rPr>
                <w:rFonts w:hint="eastAsia" w:ascii="宋体" w:hAnsi="宋体" w:eastAsia="宋体" w:cs="Times New Roman"/>
                <w:szCs w:val="21"/>
                <w:lang w:val="en-US" w:eastAsia="zh-CN"/>
              </w:rPr>
              <w:t>部Q9.1.2条款未提供对满意度实施分析评价的证据，针对该不符合出合规性评价的项，已及时采取纠正措施后</w:t>
            </w:r>
            <w:r>
              <w:rPr>
                <w:rFonts w:hint="eastAsia" w:ascii="宋体" w:hAnsi="宋体" w:cs="Times New Roman"/>
                <w:szCs w:val="21"/>
                <w:lang w:eastAsia="zh-CN"/>
              </w:rPr>
              <w:t>，经内审员验证关闭。</w:t>
            </w:r>
          </w:p>
          <w:p>
            <w:pPr>
              <w:spacing w:line="400" w:lineRule="exact"/>
              <w:rPr>
                <w:rFonts w:ascii="宋体" w:hAnsi="宋体"/>
                <w:szCs w:val="21"/>
              </w:rPr>
            </w:pPr>
            <w:r>
              <w:rPr>
                <w:rFonts w:hint="eastAsia" w:ascii="宋体" w:hAnsi="宋体" w:cs="Times New Roman"/>
                <w:szCs w:val="21"/>
                <w:lang w:eastAsia="zh-CN"/>
              </w:rPr>
              <w:t>有《内部审核报告》，有审核结论。</w:t>
            </w:r>
          </w:p>
        </w:tc>
        <w:tc>
          <w:tcPr>
            <w:tcW w:w="1025"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9.2</w:t>
            </w:r>
          </w:p>
          <w:p>
            <w:pPr>
              <w:spacing w:line="440" w:lineRule="exact"/>
              <w:jc w:val="center"/>
              <w:rPr>
                <w:rFonts w:ascii="宋体" w:hAnsi="宋体"/>
                <w:szCs w:val="21"/>
              </w:rPr>
            </w:pPr>
          </w:p>
        </w:tc>
        <w:tc>
          <w:tcPr>
            <w:tcW w:w="829" w:type="dxa"/>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管理评审：</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输入是否完整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提出的改进内容</w:t>
            </w:r>
          </w:p>
          <w:p>
            <w:pPr>
              <w:spacing w:line="400" w:lineRule="exact"/>
              <w:rPr>
                <w:rFonts w:ascii="宋体" w:hAnsi="宋体"/>
                <w:szCs w:val="21"/>
              </w:rPr>
            </w:pPr>
          </w:p>
        </w:tc>
        <w:tc>
          <w:tcPr>
            <w:tcW w:w="9571" w:type="dxa"/>
          </w:tcPr>
          <w:p>
            <w:pPr>
              <w:spacing w:line="380" w:lineRule="exact"/>
              <w:rPr>
                <w:rFonts w:ascii="宋体" w:hAnsi="宋体"/>
                <w:szCs w:val="21"/>
                <w:highlight w:val="none"/>
              </w:rPr>
            </w:pPr>
            <w:r>
              <w:rPr>
                <w:rFonts w:hint="eastAsia" w:ascii="宋体" w:hAnsi="宋体"/>
                <w:szCs w:val="21"/>
              </w:rPr>
              <w:t>查</w:t>
            </w:r>
            <w:r>
              <w:rPr>
                <w:rFonts w:hint="eastAsia" w:ascii="宋体" w:hAnsi="宋体"/>
                <w:szCs w:val="21"/>
                <w:highlight w:val="none"/>
              </w:rPr>
              <w:t>见《管理评审计划》、《管理评审会议记录》</w:t>
            </w:r>
          </w:p>
          <w:p>
            <w:pPr>
              <w:spacing w:line="380" w:lineRule="exact"/>
              <w:rPr>
                <w:rFonts w:ascii="宋体" w:hAnsi="宋体"/>
                <w:szCs w:val="21"/>
                <w:highlight w:val="none"/>
              </w:rPr>
            </w:pPr>
          </w:p>
          <w:p>
            <w:pPr>
              <w:spacing w:line="380" w:lineRule="exact"/>
              <w:rPr>
                <w:rFonts w:ascii="宋体" w:hAnsi="宋体"/>
                <w:szCs w:val="21"/>
                <w:highlight w:val="none"/>
              </w:rPr>
            </w:pPr>
            <w:r>
              <w:rPr>
                <w:rFonts w:hint="eastAsia" w:ascii="宋体" w:hAnsi="宋体"/>
                <w:szCs w:val="21"/>
                <w:highlight w:val="none"/>
              </w:rPr>
              <w:t>管理评审</w:t>
            </w:r>
            <w:r>
              <w:rPr>
                <w:rFonts w:hint="eastAsia" w:ascii="宋体" w:hAnsi="宋体" w:eastAsia="宋体" w:cs="Times New Roman"/>
                <w:szCs w:val="21"/>
                <w:highlight w:val="none"/>
              </w:rPr>
              <w:t>于2020年12月25</w:t>
            </w:r>
            <w:r>
              <w:rPr>
                <w:rFonts w:hint="eastAsia" w:ascii="宋体" w:hAnsi="宋体" w:eastAsia="宋体" w:cs="Times New Roman"/>
                <w:szCs w:val="21"/>
                <w:highlight w:val="none"/>
                <w:lang w:eastAsia="zh-CN"/>
              </w:rPr>
              <w:t>日</w:t>
            </w:r>
            <w:r>
              <w:rPr>
                <w:rFonts w:hint="eastAsia" w:ascii="宋体" w:hAnsi="宋体" w:eastAsia="宋体" w:cs="Times New Roman"/>
                <w:szCs w:val="21"/>
                <w:highlight w:val="none"/>
              </w:rPr>
              <w:t>由</w:t>
            </w:r>
            <w:r>
              <w:rPr>
                <w:rFonts w:hint="eastAsia" w:ascii="宋体" w:hAnsi="宋体"/>
                <w:szCs w:val="21"/>
                <w:highlight w:val="none"/>
              </w:rPr>
              <w:t>总经理</w:t>
            </w:r>
            <w:r>
              <w:rPr>
                <w:rFonts w:hint="eastAsia" w:ascii="宋体" w:hAnsi="宋体"/>
                <w:szCs w:val="21"/>
                <w:highlight w:val="none"/>
                <w:lang w:val="en-US" w:eastAsia="zh-CN"/>
              </w:rPr>
              <w:t>张勇主</w:t>
            </w:r>
            <w:r>
              <w:rPr>
                <w:rFonts w:hint="eastAsia" w:ascii="宋体" w:hAnsi="宋体"/>
                <w:szCs w:val="21"/>
                <w:highlight w:val="none"/>
              </w:rPr>
              <w:t>持完成。</w:t>
            </w:r>
          </w:p>
          <w:p>
            <w:pPr>
              <w:adjustRightInd w:val="0"/>
              <w:spacing w:line="400" w:lineRule="exact"/>
              <w:textAlignment w:val="baseline"/>
              <w:rPr>
                <w:rFonts w:ascii="宋体" w:hAnsi="宋体"/>
                <w:kern w:val="0"/>
                <w:szCs w:val="21"/>
                <w:highlight w:val="none"/>
              </w:rPr>
            </w:pPr>
          </w:p>
          <w:p>
            <w:pPr>
              <w:adjustRightInd w:val="0"/>
              <w:spacing w:line="400" w:lineRule="exact"/>
              <w:textAlignment w:val="baseline"/>
              <w:rPr>
                <w:rFonts w:ascii="宋体" w:hAnsi="宋体"/>
                <w:kern w:val="0"/>
                <w:szCs w:val="21"/>
                <w:highlight w:val="none"/>
              </w:rPr>
            </w:pPr>
            <w:r>
              <w:rPr>
                <w:rFonts w:hint="eastAsia" w:ascii="宋体" w:hAnsi="宋体"/>
                <w:kern w:val="0"/>
                <w:szCs w:val="21"/>
                <w:highlight w:val="none"/>
              </w:rPr>
              <w:t>提供主要输入材料有：各部门总结，输入信息基本充分和满足要求。</w:t>
            </w:r>
          </w:p>
          <w:p>
            <w:pPr>
              <w:adjustRightInd w:val="0"/>
              <w:spacing w:line="400" w:lineRule="exact"/>
              <w:textAlignment w:val="baseline"/>
              <w:rPr>
                <w:rFonts w:ascii="宋体" w:hAnsi="宋体"/>
                <w:kern w:val="0"/>
                <w:szCs w:val="21"/>
              </w:rPr>
            </w:pPr>
            <w:r>
              <w:rPr>
                <w:rFonts w:hint="eastAsia" w:ascii="宋体" w:hAnsi="宋体"/>
                <w:kern w:val="0"/>
                <w:szCs w:val="21"/>
              </w:rPr>
              <w:t>输出见“管理评审报告”, 做出了管理体系基本适宜、充分和有效的评审结论。</w:t>
            </w:r>
          </w:p>
          <w:p>
            <w:pPr>
              <w:spacing w:line="460" w:lineRule="exact"/>
              <w:ind w:firstLine="420" w:firstLineChars="200"/>
              <w:rPr>
                <w:rFonts w:ascii="宋体" w:hAnsi="宋体"/>
                <w:kern w:val="0"/>
                <w:szCs w:val="21"/>
                <w:u w:val="single"/>
              </w:rPr>
            </w:pPr>
            <w:r>
              <w:rPr>
                <w:rFonts w:hint="eastAsia" w:ascii="宋体" w:hAnsi="宋体"/>
                <w:kern w:val="0"/>
                <w:szCs w:val="21"/>
                <w:highlight w:val="none"/>
              </w:rPr>
              <w:t>提出以下</w:t>
            </w:r>
            <w:r>
              <w:rPr>
                <w:rFonts w:hint="eastAsia" w:ascii="宋体" w:hAnsi="宋体" w:eastAsia="宋体" w:cs="Times New Roman"/>
                <w:kern w:val="0"/>
                <w:szCs w:val="21"/>
              </w:rPr>
              <w:t>改进内容：建议公司加强对GB/T19001-2016、GB/T24001-2016、GB/T45001-2020标准的培训。</w:t>
            </w:r>
            <w:r>
              <w:rPr>
                <w:rFonts w:hint="eastAsia" w:ascii="Times New Roman" w:hAnsi="Times New Roman" w:eastAsia="宋体" w:cs="Times New Roman"/>
                <w:color w:val="auto"/>
                <w:szCs w:val="21"/>
                <w:highlight w:val="none"/>
                <w:lang w:val="en-US" w:eastAsia="zh-CN"/>
              </w:rPr>
              <w:t>由综合部负责，2020年12月底完成</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eastAsia="zh-CN"/>
              </w:rPr>
              <w:t>提供培训记录，有培训效果评价。</w:t>
            </w:r>
          </w:p>
        </w:tc>
        <w:tc>
          <w:tcPr>
            <w:tcW w:w="1025"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9.3</w:t>
            </w:r>
          </w:p>
          <w:p>
            <w:pPr>
              <w:spacing w:line="440" w:lineRule="exact"/>
              <w:jc w:val="center"/>
              <w:rPr>
                <w:rFonts w:ascii="宋体" w:hAnsi="宋体"/>
                <w:szCs w:val="21"/>
              </w:rPr>
            </w:pPr>
          </w:p>
        </w:tc>
        <w:tc>
          <w:tcPr>
            <w:tcW w:w="829" w:type="dxa"/>
          </w:tcPr>
          <w:p>
            <w:pPr>
              <w:adjustRightInd w:val="0"/>
              <w:spacing w:line="400" w:lineRule="exact"/>
              <w:textAlignment w:val="baseline"/>
              <w:rPr>
                <w:rFonts w:ascii="宋体" w:hAnsi="宋体"/>
                <w:kern w:val="0"/>
                <w:szCs w:val="21"/>
              </w:rPr>
            </w:pPr>
            <w:r>
              <w:rPr>
                <w:rFonts w:hint="eastAsia" w:ascii="宋体" w:hAnsi="宋体"/>
                <w:kern w:val="0"/>
                <w:szCs w:val="21"/>
              </w:rPr>
              <w:t>符合</w:t>
            </w:r>
          </w:p>
          <w:p>
            <w:pPr>
              <w:spacing w:line="440" w:lineRule="exact"/>
              <w:jc w:val="center"/>
              <w:rPr>
                <w:rFonts w:ascii="宋体" w:hAnsi="宋体"/>
                <w:szCs w:val="21"/>
              </w:rPr>
            </w:pPr>
          </w:p>
        </w:tc>
      </w:tr>
    </w:tbl>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513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1"/>
        <w:gridCol w:w="9579"/>
        <w:gridCol w:w="100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701"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11433" w:type="dxa"/>
            <w:gridSpan w:val="3"/>
            <w:shd w:val="clear" w:color="auto" w:fill="E6E6E6"/>
            <w:vAlign w:val="center"/>
          </w:tcPr>
          <w:p>
            <w:pPr>
              <w:spacing w:line="0" w:lineRule="atLeast"/>
              <w:jc w:val="center"/>
              <w:rPr>
                <w:rFonts w:hint="eastAsia" w:ascii="宋体" w:hAnsi="宋体" w:eastAsia="宋体"/>
                <w:szCs w:val="21"/>
                <w:lang w:val="en-US" w:eastAsia="zh-CN"/>
              </w:rPr>
            </w:pPr>
            <w:r>
              <w:rPr>
                <w:rFonts w:hint="eastAsia" w:ascii="宋体" w:hAnsi="宋体"/>
                <w:szCs w:val="21"/>
                <w:lang w:eastAsia="zh-CN"/>
              </w:rPr>
              <w:t>杨珍全、李渝姝（专家）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701"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9579"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1003"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851"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3701" w:type="dxa"/>
          </w:tcPr>
          <w:p>
            <w:pPr>
              <w:spacing w:line="400" w:lineRule="exact"/>
              <w:rPr>
                <w:rFonts w:ascii="宋体" w:hAnsi="宋体"/>
                <w:szCs w:val="21"/>
              </w:rPr>
            </w:pPr>
            <w:r>
              <w:rPr>
                <w:rFonts w:hint="eastAsia" w:ascii="宋体" w:hAnsi="宋体"/>
                <w:szCs w:val="21"/>
              </w:rPr>
              <w:t>相关法规</w:t>
            </w:r>
          </w:p>
          <w:p>
            <w:pPr>
              <w:spacing w:line="400" w:lineRule="exact"/>
              <w:rPr>
                <w:rFonts w:ascii="宋体" w:hAnsi="宋体"/>
                <w:szCs w:val="21"/>
              </w:rPr>
            </w:pPr>
          </w:p>
          <w:p>
            <w:pPr>
              <w:spacing w:line="400" w:lineRule="exact"/>
              <w:rPr>
                <w:rFonts w:ascii="宋体" w:hAnsi="宋体"/>
                <w:szCs w:val="21"/>
              </w:rPr>
            </w:pPr>
          </w:p>
          <w:p>
            <w:pPr>
              <w:spacing w:line="400" w:lineRule="exact"/>
              <w:rPr>
                <w:rFonts w:hint="eastAsia" w:ascii="宋体" w:hAnsi="宋体"/>
                <w:szCs w:val="21"/>
              </w:rPr>
            </w:pPr>
            <w:r>
              <w:rPr>
                <w:rFonts w:hint="eastAsia" w:ascii="宋体" w:hAnsi="宋体"/>
                <w:szCs w:val="21"/>
              </w:rPr>
              <w:t>环评报告及环评验收</w:t>
            </w: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pPr>
            <w:r>
              <w:rPr>
                <w:rFonts w:hint="eastAsia"/>
                <w:szCs w:val="21"/>
              </w:rPr>
              <w:t>安评报告及安评验收</w:t>
            </w:r>
          </w:p>
          <w:p>
            <w:pPr>
              <w:spacing w:line="400" w:lineRule="exact"/>
              <w:rPr>
                <w:rFonts w:hint="eastAsia"/>
                <w:szCs w:val="21"/>
              </w:rPr>
            </w:pPr>
          </w:p>
          <w:p>
            <w:pPr>
              <w:spacing w:line="400" w:lineRule="exact"/>
              <w:rPr>
                <w:rFonts w:hint="eastAsia"/>
                <w:szCs w:val="21"/>
              </w:rPr>
            </w:pPr>
            <w:r>
              <w:rPr>
                <w:rFonts w:hint="eastAsia"/>
                <w:szCs w:val="21"/>
              </w:rPr>
              <w:t>执行的产品标准（QMS）</w:t>
            </w:r>
          </w:p>
          <w:p>
            <w:pPr>
              <w:spacing w:line="400" w:lineRule="exact"/>
              <w:rPr>
                <w:rFonts w:hint="eastAsia"/>
                <w:szCs w:val="21"/>
              </w:rPr>
            </w:pPr>
          </w:p>
          <w:p>
            <w:pPr>
              <w:pStyle w:val="2"/>
              <w:rPr>
                <w:rFonts w:hint="eastAsia"/>
                <w:szCs w:val="21"/>
              </w:rPr>
            </w:pPr>
          </w:p>
          <w:p>
            <w:pPr>
              <w:pStyle w:val="2"/>
              <w:rPr>
                <w:rFonts w:hint="eastAsia"/>
                <w:szCs w:val="21"/>
              </w:rPr>
            </w:pPr>
          </w:p>
          <w:p>
            <w:pPr>
              <w:spacing w:line="400" w:lineRule="exact"/>
              <w:rPr>
                <w:szCs w:val="21"/>
              </w:rPr>
            </w:pPr>
            <w:r>
              <w:rPr>
                <w:rFonts w:hint="eastAsia"/>
                <w:szCs w:val="21"/>
              </w:rPr>
              <w:t>执行的排污标准（EMS）</w:t>
            </w:r>
          </w:p>
          <w:p>
            <w:pPr>
              <w:spacing w:line="400" w:lineRule="exact"/>
              <w:rPr>
                <w:szCs w:val="21"/>
              </w:rPr>
            </w:pPr>
          </w:p>
          <w:p>
            <w:pPr>
              <w:spacing w:line="400" w:lineRule="exact"/>
              <w:rPr>
                <w:rFonts w:hint="eastAsia"/>
                <w:szCs w:val="21"/>
              </w:rPr>
            </w:pPr>
          </w:p>
          <w:p>
            <w:pPr>
              <w:pStyle w:val="2"/>
              <w:rPr>
                <w:rFonts w:hint="eastAsia"/>
              </w:rPr>
            </w:pPr>
          </w:p>
          <w:p>
            <w:pPr>
              <w:spacing w:line="400" w:lineRule="exact"/>
              <w:rPr>
                <w:szCs w:val="21"/>
              </w:rPr>
            </w:pPr>
            <w:r>
              <w:rPr>
                <w:rFonts w:hint="eastAsia"/>
                <w:szCs w:val="21"/>
              </w:rPr>
              <w:t>执行的安全法规（OHSMS）</w:t>
            </w:r>
          </w:p>
          <w:p>
            <w:pPr>
              <w:spacing w:line="400" w:lineRule="exact"/>
              <w:rPr>
                <w:szCs w:val="21"/>
              </w:rPr>
            </w:pPr>
          </w:p>
          <w:p>
            <w:pPr>
              <w:spacing w:line="400" w:lineRule="exact"/>
              <w:rPr>
                <w:szCs w:val="21"/>
              </w:rPr>
            </w:pPr>
            <w:r>
              <w:rPr>
                <w:rFonts w:hint="eastAsia"/>
                <w:szCs w:val="21"/>
              </w:rPr>
              <w:t xml:space="preserve">合规性评价报告 </w:t>
            </w:r>
          </w:p>
          <w:p>
            <w:pPr>
              <w:spacing w:line="400" w:lineRule="exact"/>
              <w:rPr>
                <w:rFonts w:hint="eastAsia"/>
                <w:szCs w:val="21"/>
              </w:rPr>
            </w:pPr>
            <w:r>
              <w:rPr>
                <w:rFonts w:hint="eastAsia"/>
                <w:szCs w:val="21"/>
              </w:rPr>
              <w:t>环境相关监测报告（EMS）</w:t>
            </w:r>
          </w:p>
          <w:p>
            <w:pPr>
              <w:spacing w:line="400" w:lineRule="exact"/>
              <w:rPr>
                <w:rFonts w:hint="eastAsia"/>
                <w:szCs w:val="21"/>
              </w:rPr>
            </w:pPr>
          </w:p>
          <w:p>
            <w:pPr>
              <w:spacing w:line="240" w:lineRule="auto"/>
              <w:rPr>
                <w:rFonts w:hint="eastAsia"/>
                <w:szCs w:val="21"/>
              </w:rPr>
            </w:pPr>
            <w:r>
              <w:rPr>
                <w:rFonts w:hint="eastAsia"/>
                <w:szCs w:val="21"/>
              </w:rPr>
              <w:t>职业健康相关监测报告（OHSMS）</w:t>
            </w:r>
          </w:p>
          <w:p>
            <w:pPr>
              <w:pStyle w:val="2"/>
              <w:spacing w:line="240" w:lineRule="auto"/>
            </w:pPr>
          </w:p>
          <w:p>
            <w:pPr>
              <w:spacing w:line="240" w:lineRule="auto"/>
              <w:rPr>
                <w:rFonts w:ascii="宋体" w:hAnsi="宋体"/>
                <w:szCs w:val="21"/>
              </w:rPr>
            </w:pPr>
            <w:r>
              <w:rPr>
                <w:rFonts w:hint="eastAsia"/>
                <w:szCs w:val="21"/>
              </w:rPr>
              <w:t>产品质量监督抽查情况（QMS）</w:t>
            </w:r>
          </w:p>
        </w:tc>
        <w:tc>
          <w:tcPr>
            <w:tcW w:w="9579" w:type="dxa"/>
          </w:tcPr>
          <w:p>
            <w:pPr>
              <w:spacing w:line="400" w:lineRule="exact"/>
              <w:rPr>
                <w:rFonts w:hint="eastAsia" w:eastAsia="宋体"/>
                <w:szCs w:val="21"/>
                <w:lang w:val="en-US" w:eastAsia="zh-CN"/>
              </w:rPr>
            </w:pPr>
            <w:r>
              <w:rPr>
                <w:rFonts w:hint="eastAsia" w:ascii="宋体" w:hAnsi="宋体"/>
                <w:szCs w:val="21"/>
              </w:rPr>
              <w:t>中华人民共和国合同法、中华人民共和国劳动法、中华人民共和国安全消防法、</w:t>
            </w:r>
            <w:r>
              <w:rPr>
                <w:rFonts w:hint="eastAsia" w:ascii="宋体" w:hAnsi="宋体"/>
                <w:color w:val="000000"/>
                <w:szCs w:val="21"/>
              </w:rPr>
              <w:t>中华人民共和国劳动合同法、</w:t>
            </w:r>
            <w:r>
              <w:rPr>
                <w:rFonts w:ascii="宋体" w:hAnsi="宋体" w:cs="Arial"/>
                <w:color w:val="000000"/>
                <w:szCs w:val="21"/>
                <w:shd w:val="clear" w:color="auto" w:fill="FFFFFF"/>
              </w:rPr>
              <w:t>中华人民共和国产品质量法</w:t>
            </w:r>
            <w:r>
              <w:rPr>
                <w:rFonts w:hint="eastAsia" w:ascii="宋体" w:hAnsi="宋体" w:cs="Arial"/>
                <w:color w:val="000000"/>
                <w:szCs w:val="21"/>
                <w:shd w:val="clear" w:color="auto" w:fill="FFFFFF"/>
              </w:rPr>
              <w:t>、</w:t>
            </w:r>
            <w:r>
              <w:rPr>
                <w:rFonts w:hint="eastAsia" w:ascii="宋体" w:hAnsi="宋体" w:cs="宋体"/>
                <w:color w:val="000000"/>
                <w:szCs w:val="21"/>
              </w:rPr>
              <w:t>中华人民共和国安全生产法</w:t>
            </w:r>
            <w:r>
              <w:rPr>
                <w:rFonts w:hint="eastAsia" w:ascii="宋体" w:hAnsi="宋体"/>
                <w:szCs w:val="21"/>
              </w:rPr>
              <w:t>等</w:t>
            </w:r>
            <w:r>
              <w:rPr>
                <w:rFonts w:hint="eastAsia" w:ascii="宋体" w:hAnsi="宋体"/>
                <w:szCs w:val="21"/>
                <w:lang w:eastAsia="zh-CN"/>
              </w:rPr>
              <w:t>。</w:t>
            </w:r>
          </w:p>
          <w:p>
            <w:pPr>
              <w:spacing w:line="400" w:lineRule="exact"/>
              <w:rPr>
                <w:rFonts w:ascii="宋体" w:hAnsi="宋体"/>
                <w:color w:val="000000" w:themeColor="text1"/>
                <w:szCs w:val="21"/>
              </w:rPr>
            </w:pPr>
          </w:p>
          <w:p>
            <w:pPr>
              <w:numPr>
                <w:ilvl w:val="0"/>
                <w:numId w:val="1"/>
              </w:numPr>
              <w:ind w:left="0" w:leftChars="0" w:firstLine="0" w:firstLineChars="0"/>
              <w:rPr>
                <w:rFonts w:hint="eastAsia"/>
                <w:color w:val="000000" w:themeColor="text1"/>
                <w:szCs w:val="21"/>
                <w:lang w:val="en-US" w:eastAsia="zh-CN"/>
              </w:rPr>
            </w:pPr>
            <w:r>
              <w:rPr>
                <w:rFonts w:hint="eastAsia"/>
                <w:color w:val="000000" w:themeColor="text1"/>
                <w:szCs w:val="21"/>
                <w:lang w:val="en-US" w:eastAsia="zh-CN"/>
              </w:rPr>
              <w:t>提供有环境保护验收监测报告，渝北环（监）字</w:t>
            </w:r>
            <w:r>
              <w:rPr>
                <w:rFonts w:hint="eastAsia" w:ascii="宋体" w:hAnsi="宋体" w:eastAsia="宋体" w:cs="宋体"/>
                <w:color w:val="000000" w:themeColor="text1"/>
                <w:szCs w:val="21"/>
                <w:lang w:val="en-US" w:eastAsia="zh-CN"/>
              </w:rPr>
              <w:t>[2015]第YS046号。</w:t>
            </w:r>
          </w:p>
          <w:p>
            <w:pPr>
              <w:numPr>
                <w:ilvl w:val="0"/>
                <w:numId w:val="1"/>
              </w:numPr>
              <w:ind w:left="0" w:leftChars="0" w:firstLine="0" w:firstLineChars="0"/>
              <w:rPr>
                <w:rFonts w:hint="eastAsia"/>
                <w:color w:val="000000" w:themeColor="text1"/>
                <w:szCs w:val="21"/>
                <w:lang w:val="en-US" w:eastAsia="zh-CN"/>
              </w:rPr>
            </w:pPr>
            <w:r>
              <w:rPr>
                <w:rFonts w:hint="eastAsia"/>
                <w:color w:val="000000" w:themeColor="text1"/>
                <w:szCs w:val="21"/>
                <w:lang w:val="en-US" w:eastAsia="zh-CN"/>
              </w:rPr>
              <w:t>提供有重庆市建设项目环境影响评价文件批准书：渝北环准</w:t>
            </w:r>
            <w:r>
              <w:rPr>
                <w:rFonts w:hint="eastAsia" w:ascii="宋体" w:hAnsi="宋体" w:eastAsia="宋体" w:cs="宋体"/>
                <w:color w:val="000000" w:themeColor="text1"/>
                <w:szCs w:val="21"/>
                <w:lang w:val="en-US" w:eastAsia="zh-CN"/>
              </w:rPr>
              <w:t>[2007]144号</w:t>
            </w:r>
            <w:r>
              <w:rPr>
                <w:rFonts w:hint="eastAsia"/>
                <w:color w:val="000000" w:themeColor="text1"/>
                <w:szCs w:val="21"/>
                <w:lang w:val="en-US" w:eastAsia="zh-CN"/>
              </w:rPr>
              <w:t>；</w:t>
            </w:r>
          </w:p>
          <w:p>
            <w:pPr>
              <w:numPr>
                <w:ilvl w:val="0"/>
                <w:numId w:val="1"/>
              </w:numPr>
              <w:ind w:left="0" w:leftChars="0" w:firstLine="0" w:firstLineChars="0"/>
              <w:rPr>
                <w:rFonts w:hint="eastAsia"/>
                <w:color w:val="000000" w:themeColor="text1"/>
                <w:szCs w:val="21"/>
                <w:lang w:val="en-US" w:eastAsia="zh-CN"/>
              </w:rPr>
            </w:pPr>
            <w:r>
              <w:rPr>
                <w:rFonts w:hint="eastAsia"/>
                <w:color w:val="000000" w:themeColor="text1"/>
                <w:szCs w:val="21"/>
                <w:lang w:val="en-US" w:eastAsia="zh-CN"/>
              </w:rPr>
              <w:t>重庆市渝北区建设项目竣工环境保护验收批复，渝（北）环验（2015）104号。</w:t>
            </w:r>
          </w:p>
          <w:p>
            <w:pPr>
              <w:spacing w:line="400" w:lineRule="exact"/>
              <w:rPr>
                <w:rFonts w:hint="eastAsia" w:ascii="宋体" w:hAnsi="宋体" w:eastAsia="宋体"/>
                <w:szCs w:val="21"/>
                <w:lang w:val="en-US" w:eastAsia="zh-CN"/>
              </w:rPr>
            </w:pPr>
            <w:r>
              <w:rPr>
                <w:rFonts w:hint="eastAsia" w:ascii="宋体" w:hAnsi="宋体"/>
                <w:szCs w:val="21"/>
                <w:lang w:val="en-US" w:eastAsia="zh-CN"/>
              </w:rPr>
              <w:t xml:space="preserve"> </w:t>
            </w:r>
          </w:p>
          <w:p>
            <w:pPr>
              <w:widowControl/>
              <w:jc w:val="left"/>
              <w:rPr>
                <w:rFonts w:hint="eastAsia" w:ascii="宋体" w:hAnsi="宋体"/>
                <w:szCs w:val="21"/>
                <w:highlight w:val="green"/>
              </w:rPr>
            </w:pPr>
          </w:p>
          <w:p>
            <w:pPr>
              <w:spacing w:before="156" w:beforeLines="50" w:line="240" w:lineRule="auto"/>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无</w:t>
            </w:r>
          </w:p>
          <w:p>
            <w:pPr>
              <w:pStyle w:val="2"/>
              <w:rPr>
                <w:rFonts w:hint="eastAsia"/>
              </w:rPr>
            </w:pPr>
          </w:p>
          <w:p>
            <w:pPr>
              <w:spacing w:before="156" w:beforeLines="50" w:line="240" w:lineRule="auto"/>
              <w:rPr>
                <w:color w:val="auto"/>
                <w:sz w:val="21"/>
                <w:szCs w:val="21"/>
                <w:highlight w:val="none"/>
              </w:rPr>
            </w:pPr>
            <w:r>
              <w:rPr>
                <w:rFonts w:hint="eastAsia" w:ascii="Times New Roman" w:hAnsi="Times New Roman" w:eastAsia="宋体" w:cs="Times New Roman"/>
                <w:color w:val="auto"/>
                <w:sz w:val="21"/>
                <w:szCs w:val="21"/>
                <w:highlight w:val="none"/>
              </w:rPr>
              <w:t>GB 8965.1-2009防护服装 阻燃防护 第一部分：阻燃服、GB 18401-2010国家纺织产品基本安全技术规范、FZ/T 01057.-2-2007纺织纤维鉴别试验方法、GB/T13640-2008劳动防护服号型、GB/T22701--2008职业服装检验规则等技术标准和合同协议</w:t>
            </w:r>
            <w:r>
              <w:rPr>
                <w:rFonts w:hint="eastAsia"/>
                <w:color w:val="auto"/>
                <w:sz w:val="21"/>
                <w:szCs w:val="21"/>
                <w:highlight w:val="none"/>
              </w:rPr>
              <w:t>。</w:t>
            </w:r>
          </w:p>
          <w:p>
            <w:pPr>
              <w:rPr>
                <w:rFonts w:hint="eastAsia" w:ascii="宋体" w:hAnsi="宋体"/>
                <w:color w:val="000000" w:themeColor="text1"/>
                <w:szCs w:val="21"/>
                <w:highlight w:val="none"/>
                <w:lang w:eastAsia="zh-CN"/>
              </w:rPr>
            </w:pPr>
          </w:p>
          <w:p>
            <w:pPr>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环境空气质量</w:t>
            </w:r>
            <w:r>
              <w:rPr>
                <w:rFonts w:hint="eastAsia" w:ascii="宋体" w:hAnsi="宋体"/>
                <w:color w:val="auto"/>
                <w:szCs w:val="21"/>
                <w:highlight w:val="none"/>
                <w:lang w:eastAsia="zh-CN"/>
              </w:rPr>
              <w:t>标准》</w:t>
            </w:r>
            <w:r>
              <w:rPr>
                <w:rFonts w:hint="eastAsia" w:ascii="宋体" w:hAnsi="宋体"/>
                <w:color w:val="auto"/>
                <w:szCs w:val="21"/>
                <w:highlight w:val="none"/>
                <w:lang w:val="en-US" w:eastAsia="zh-CN"/>
              </w:rPr>
              <w:t>GB3095-1996中的二级标准值；《城市区域环境噪声标准（GB3096-93）》的3类地区标准；</w:t>
            </w:r>
            <w:r>
              <w:rPr>
                <w:rFonts w:hint="eastAsia" w:ascii="宋体" w:hAnsi="宋体" w:cs="宋体"/>
                <w:color w:val="auto"/>
                <w:kern w:val="0"/>
                <w:szCs w:val="21"/>
                <w:highlight w:val="none"/>
                <w:lang w:eastAsia="zh-CN"/>
              </w:rPr>
              <w:t>《</w:t>
            </w:r>
            <w:r>
              <w:rPr>
                <w:rFonts w:hint="eastAsia" w:ascii="宋体" w:hAnsi="宋体"/>
                <w:color w:val="auto"/>
                <w:szCs w:val="21"/>
                <w:highlight w:val="none"/>
              </w:rPr>
              <w:t>工业企业厂界环境噪声排放标准</w:t>
            </w:r>
            <w:r>
              <w:rPr>
                <w:rFonts w:hint="eastAsia" w:ascii="宋体" w:hAnsi="宋体"/>
                <w:color w:val="auto"/>
                <w:szCs w:val="21"/>
                <w:highlight w:val="none"/>
                <w:lang w:eastAsia="zh-CN"/>
              </w:rPr>
              <w:t>》</w:t>
            </w:r>
            <w:r>
              <w:rPr>
                <w:rFonts w:hint="eastAsia" w:ascii="宋体" w:hAnsi="宋体"/>
                <w:color w:val="auto"/>
                <w:szCs w:val="21"/>
                <w:highlight w:val="none"/>
              </w:rPr>
              <w:t>（GB12348-2008）</w:t>
            </w:r>
            <w:r>
              <w:rPr>
                <w:rFonts w:hint="eastAsia" w:ascii="宋体" w:hAnsi="宋体"/>
                <w:color w:val="auto"/>
                <w:szCs w:val="21"/>
                <w:highlight w:val="none"/>
                <w:lang w:val="en-US" w:eastAsia="zh-CN"/>
              </w:rPr>
              <w:t>中3</w:t>
            </w:r>
            <w:r>
              <w:rPr>
                <w:rFonts w:hint="eastAsia" w:ascii="宋体" w:hAnsi="宋体"/>
                <w:color w:val="auto"/>
                <w:szCs w:val="21"/>
                <w:highlight w:val="none"/>
              </w:rPr>
              <w:t>类</w:t>
            </w:r>
            <w:r>
              <w:rPr>
                <w:rFonts w:hint="eastAsia" w:ascii="宋体" w:hAnsi="宋体"/>
                <w:color w:val="auto"/>
                <w:szCs w:val="21"/>
                <w:highlight w:val="none"/>
                <w:lang w:val="en-US" w:eastAsia="zh-CN"/>
              </w:rPr>
              <w:t>标准；《污水综合排放标准》（GB8978-1996）表4中三级排放标准等；</w:t>
            </w:r>
          </w:p>
          <w:p>
            <w:pPr>
              <w:spacing w:line="400" w:lineRule="exact"/>
              <w:rPr>
                <w:rFonts w:hint="eastAsia" w:ascii="宋体" w:hAnsi="宋体"/>
                <w:color w:val="auto"/>
                <w:szCs w:val="21"/>
                <w:highlight w:val="none"/>
              </w:rPr>
            </w:pPr>
          </w:p>
          <w:p>
            <w:pPr>
              <w:spacing w:line="400" w:lineRule="exact"/>
              <w:rPr>
                <w:szCs w:val="21"/>
                <w:highlight w:val="none"/>
              </w:rPr>
            </w:pPr>
            <w:r>
              <w:rPr>
                <w:rFonts w:hint="eastAsia" w:ascii="宋体" w:hAnsi="宋体"/>
                <w:color w:val="auto"/>
                <w:szCs w:val="21"/>
                <w:highlight w:val="none"/>
              </w:rPr>
              <w:t>中华人民共和国安全消防法、中华人民共和国劳动合同法、</w:t>
            </w:r>
            <w:r>
              <w:rPr>
                <w:rFonts w:hint="eastAsia" w:ascii="宋体" w:hAnsi="宋体" w:cs="宋体"/>
                <w:color w:val="auto"/>
                <w:szCs w:val="21"/>
                <w:highlight w:val="none"/>
              </w:rPr>
              <w:t>中华人民共和国安全生产法等</w:t>
            </w:r>
          </w:p>
          <w:p>
            <w:pPr>
              <w:spacing w:line="400" w:lineRule="exact"/>
              <w:rPr>
                <w:rFonts w:hint="eastAsia"/>
                <w:szCs w:val="21"/>
              </w:rPr>
            </w:pPr>
          </w:p>
          <w:p>
            <w:pPr>
              <w:rPr>
                <w:rFonts w:hint="eastAsia"/>
                <w:szCs w:val="21"/>
                <w:highlight w:val="red"/>
              </w:rPr>
            </w:pPr>
          </w:p>
          <w:p>
            <w:pPr>
              <w:rPr>
                <w:rFonts w:hint="eastAsia"/>
                <w:color w:val="000000"/>
                <w:szCs w:val="21"/>
                <w:highlight w:val="none"/>
                <w:lang w:val="en-US" w:eastAsia="zh-CN"/>
              </w:rPr>
            </w:pPr>
            <w:r>
              <w:rPr>
                <w:rFonts w:hint="eastAsia"/>
                <w:szCs w:val="21"/>
                <w:highlight w:val="none"/>
              </w:rPr>
              <w:t>2020年</w:t>
            </w:r>
            <w:r>
              <w:rPr>
                <w:rFonts w:hint="eastAsia"/>
                <w:szCs w:val="21"/>
                <w:highlight w:val="none"/>
                <w:lang w:val="en-US" w:eastAsia="zh-CN"/>
              </w:rPr>
              <w:t>12</w:t>
            </w:r>
            <w:r>
              <w:rPr>
                <w:rFonts w:hint="eastAsia"/>
                <w:szCs w:val="21"/>
                <w:highlight w:val="none"/>
              </w:rPr>
              <w:t>月</w:t>
            </w:r>
            <w:r>
              <w:rPr>
                <w:rFonts w:hint="eastAsia"/>
                <w:szCs w:val="21"/>
                <w:highlight w:val="none"/>
                <w:lang w:val="en-US" w:eastAsia="zh-CN"/>
              </w:rPr>
              <w:t>10</w:t>
            </w:r>
            <w:r>
              <w:rPr>
                <w:rFonts w:hint="eastAsia"/>
                <w:szCs w:val="21"/>
                <w:highlight w:val="none"/>
              </w:rPr>
              <w:t>日进行了合规性评价</w:t>
            </w:r>
          </w:p>
          <w:p>
            <w:pPr>
              <w:rPr>
                <w:rFonts w:hint="eastAsia"/>
                <w:color w:val="auto"/>
                <w:szCs w:val="21"/>
                <w:highlight w:val="red"/>
                <w:lang w:val="en-US" w:eastAsia="zh-CN"/>
              </w:rPr>
            </w:pPr>
            <w:r>
              <w:rPr>
                <w:rFonts w:hint="eastAsia"/>
                <w:color w:val="auto"/>
                <w:szCs w:val="21"/>
                <w:highlight w:val="none"/>
                <w:lang w:val="en-US" w:eastAsia="zh-CN"/>
              </w:rPr>
              <w:t>提供有固定污染源排污登记回执，登记编号：915001127688503959001X；</w:t>
            </w:r>
          </w:p>
          <w:p>
            <w:pPr>
              <w:spacing w:line="240" w:lineRule="auto"/>
              <w:rPr>
                <w:rFonts w:hint="eastAsia" w:ascii="宋体" w:hAnsi="宋体"/>
                <w:szCs w:val="21"/>
                <w:highlight w:val="none"/>
              </w:rPr>
            </w:pPr>
          </w:p>
          <w:p>
            <w:pPr>
              <w:spacing w:line="240" w:lineRule="auto"/>
              <w:rPr>
                <w:rFonts w:hint="eastAsia" w:ascii="宋体" w:hAnsi="宋体"/>
                <w:szCs w:val="21"/>
                <w:highlight w:val="none"/>
              </w:rPr>
            </w:pPr>
          </w:p>
          <w:p>
            <w:pPr>
              <w:spacing w:line="240" w:lineRule="auto"/>
              <w:rPr>
                <w:rFonts w:hint="eastAsia" w:ascii="宋体" w:hAnsi="宋体"/>
                <w:szCs w:val="21"/>
                <w:highlight w:val="none"/>
              </w:rPr>
            </w:pPr>
            <w:r>
              <w:rPr>
                <w:rFonts w:hint="eastAsia" w:ascii="宋体" w:hAnsi="宋体"/>
                <w:szCs w:val="21"/>
                <w:highlight w:val="none"/>
              </w:rPr>
              <w:t xml:space="preserve">提供有: </w:t>
            </w:r>
            <w:r>
              <w:rPr>
                <w:rFonts w:hint="eastAsia" w:ascii="宋体" w:hAnsi="宋体"/>
                <w:color w:val="auto"/>
                <w:szCs w:val="21"/>
                <w:highlight w:val="none"/>
              </w:rPr>
              <w:t>2</w:t>
            </w:r>
            <w:r>
              <w:rPr>
                <w:rFonts w:hint="eastAsia" w:ascii="宋体" w:hAnsi="宋体"/>
                <w:color w:val="auto"/>
                <w:szCs w:val="21"/>
                <w:highlight w:val="none"/>
                <w:lang w:val="en-US" w:eastAsia="zh-CN"/>
              </w:rPr>
              <w:t>020</w:t>
            </w:r>
            <w:r>
              <w:rPr>
                <w:rFonts w:hint="eastAsia" w:ascii="宋体" w:hAnsi="宋体"/>
                <w:color w:val="auto"/>
                <w:szCs w:val="21"/>
                <w:highlight w:val="none"/>
              </w:rPr>
              <w:t>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25日疾病预防检测报告</w:t>
            </w:r>
            <w:r>
              <w:rPr>
                <w:rFonts w:hint="eastAsia" w:ascii="宋体" w:hAnsi="宋体"/>
                <w:color w:val="auto"/>
                <w:szCs w:val="21"/>
                <w:highlight w:val="none"/>
              </w:rPr>
              <w:t>（</w:t>
            </w:r>
            <w:r>
              <w:rPr>
                <w:rFonts w:hint="eastAsia" w:ascii="宋体" w:hAnsi="宋体"/>
                <w:color w:val="auto"/>
                <w:szCs w:val="21"/>
                <w:highlight w:val="none"/>
                <w:lang w:val="en-US" w:eastAsia="zh-CN"/>
              </w:rPr>
              <w:t>检测任务编号：YBCDCZW20200004)</w:t>
            </w:r>
            <w:r>
              <w:rPr>
                <w:rFonts w:hint="eastAsia" w:ascii="宋体" w:hAnsi="宋体"/>
                <w:color w:val="auto"/>
                <w:szCs w:val="21"/>
                <w:highlight w:val="none"/>
              </w:rPr>
              <w:t>具体见附件。</w:t>
            </w:r>
          </w:p>
          <w:p>
            <w:pPr>
              <w:spacing w:line="240" w:lineRule="auto"/>
              <w:rPr>
                <w:rFonts w:hint="eastAsia"/>
                <w:color w:val="FF0000"/>
                <w:szCs w:val="21"/>
                <w:highlight w:val="none"/>
              </w:rPr>
            </w:pPr>
          </w:p>
          <w:p>
            <w:pPr>
              <w:spacing w:line="240" w:lineRule="auto"/>
              <w:rPr>
                <w:rFonts w:ascii="宋体" w:hAnsi="宋体"/>
                <w:szCs w:val="21"/>
              </w:rPr>
            </w:pPr>
            <w:r>
              <w:rPr>
                <w:rFonts w:hint="eastAsia"/>
                <w:color w:val="000000" w:themeColor="text1"/>
                <w:szCs w:val="21"/>
                <w:highlight w:val="none"/>
                <w:lang w:val="en-US" w:eastAsia="zh-CN"/>
              </w:rPr>
              <w:t>无</w:t>
            </w:r>
            <w:r>
              <w:rPr>
                <w:rFonts w:hint="eastAsia"/>
                <w:color w:val="000000" w:themeColor="text1"/>
                <w:szCs w:val="21"/>
                <w:highlight w:val="none"/>
              </w:rPr>
              <w:t>。</w:t>
            </w:r>
          </w:p>
        </w:tc>
        <w:tc>
          <w:tcPr>
            <w:tcW w:w="1003" w:type="dxa"/>
          </w:tcPr>
          <w:p>
            <w:pPr>
              <w:adjustRightInd w:val="0"/>
              <w:snapToGrid w:val="0"/>
              <w:rPr>
                <w:rFonts w:ascii="宋体" w:hAnsi="宋体" w:cs="宋体"/>
                <w:szCs w:val="21"/>
              </w:rPr>
            </w:pPr>
            <w:r>
              <w:rPr>
                <w:rFonts w:hint="eastAsia" w:ascii="宋体" w:hAnsi="宋体"/>
                <w:szCs w:val="21"/>
              </w:rPr>
              <w:t>Q/E/S:6.1.3、9.1.2</w:t>
            </w:r>
          </w:p>
          <w:p>
            <w:pPr>
              <w:spacing w:line="440" w:lineRule="exact"/>
              <w:jc w:val="center"/>
              <w:rPr>
                <w:rFonts w:ascii="宋体" w:hAnsi="宋体"/>
                <w:szCs w:val="21"/>
              </w:rPr>
            </w:pPr>
          </w:p>
        </w:tc>
        <w:tc>
          <w:tcPr>
            <w:tcW w:w="851" w:type="dxa"/>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701" w:type="dxa"/>
          </w:tcPr>
          <w:p>
            <w:pPr>
              <w:spacing w:line="400" w:lineRule="exact"/>
              <w:rPr>
                <w:rFonts w:ascii="宋体" w:hAnsi="宋体"/>
                <w:szCs w:val="21"/>
              </w:rPr>
            </w:pPr>
            <w:r>
              <w:rPr>
                <w:rFonts w:hint="eastAsia" w:ascii="宋体" w:hAnsi="宋体"/>
                <w:szCs w:val="21"/>
              </w:rPr>
              <w:t>工艺流程</w:t>
            </w:r>
          </w:p>
          <w:p>
            <w:pPr>
              <w:spacing w:line="400" w:lineRule="exact"/>
              <w:rPr>
                <w:rFonts w:ascii="宋体" w:hAnsi="宋体"/>
                <w:szCs w:val="21"/>
              </w:rPr>
            </w:pP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不适用条款的确认</w:t>
            </w:r>
          </w:p>
          <w:p>
            <w:pPr>
              <w:spacing w:line="400" w:lineRule="exact"/>
              <w:rPr>
                <w:rFonts w:ascii="宋体" w:hAnsi="宋体"/>
                <w:szCs w:val="21"/>
              </w:rPr>
            </w:pPr>
          </w:p>
          <w:p>
            <w:pPr>
              <w:spacing w:line="400" w:lineRule="exact"/>
              <w:rPr>
                <w:rFonts w:hint="eastAsia" w:ascii="宋体" w:hAnsi="宋体"/>
                <w:szCs w:val="21"/>
              </w:rPr>
            </w:pPr>
          </w:p>
          <w:p>
            <w:pPr>
              <w:pStyle w:val="2"/>
              <w:rPr>
                <w:rFonts w:hint="eastAsia"/>
              </w:rPr>
            </w:pPr>
          </w:p>
          <w:p>
            <w:pPr>
              <w:spacing w:line="400" w:lineRule="exact"/>
              <w:rPr>
                <w:rFonts w:ascii="宋体" w:hAnsi="宋体"/>
                <w:szCs w:val="21"/>
              </w:rPr>
            </w:pPr>
            <w:r>
              <w:rPr>
                <w:rFonts w:hint="eastAsia" w:ascii="宋体" w:hAnsi="宋体"/>
                <w:szCs w:val="21"/>
              </w:rPr>
              <w:t>外包的识别</w:t>
            </w: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重要环境因素（EMS）</w:t>
            </w:r>
          </w:p>
          <w:p>
            <w:pPr>
              <w:spacing w:line="400" w:lineRule="exact"/>
              <w:rPr>
                <w:szCs w:val="21"/>
              </w:rPr>
            </w:pPr>
            <w:r>
              <w:rPr>
                <w:rFonts w:hint="eastAsia"/>
                <w:szCs w:val="21"/>
              </w:rPr>
              <w:t>不可接受风险（OHSMS）</w:t>
            </w:r>
          </w:p>
          <w:p>
            <w:pPr>
              <w:spacing w:line="400" w:lineRule="exact"/>
              <w:rPr>
                <w:szCs w:val="21"/>
              </w:rPr>
            </w:pPr>
            <w:r>
              <w:rPr>
                <w:rFonts w:hint="eastAsia"/>
                <w:szCs w:val="21"/>
              </w:rPr>
              <w:t>应急管理</w:t>
            </w:r>
          </w:p>
        </w:tc>
        <w:tc>
          <w:tcPr>
            <w:tcW w:w="9579" w:type="dxa"/>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生产</w:t>
            </w:r>
            <w:r>
              <w:rPr>
                <w:rFonts w:hint="eastAsia" w:ascii="宋体" w:hAnsi="宋体" w:cs="宋体"/>
                <w:color w:val="auto"/>
                <w:sz w:val="20"/>
                <w:szCs w:val="20"/>
                <w:highlight w:val="none"/>
                <w:lang w:val="en-US" w:eastAsia="zh-CN"/>
              </w:rPr>
              <w:t>工艺</w:t>
            </w:r>
            <w:r>
              <w:rPr>
                <w:rFonts w:hint="eastAsia" w:ascii="宋体" w:hAnsi="宋体" w:eastAsia="宋体" w:cs="宋体"/>
                <w:color w:val="auto"/>
                <w:sz w:val="20"/>
                <w:szCs w:val="20"/>
                <w:highlight w:val="none"/>
                <w:lang w:val="en-US" w:eastAsia="zh-CN"/>
              </w:rPr>
              <w:t>流程</w:t>
            </w:r>
            <w:r>
              <w:rPr>
                <w:rFonts w:hint="eastAsia" w:ascii="宋体" w:hAnsi="宋体" w:eastAsia="宋体" w:cs="宋体"/>
                <w:color w:val="auto"/>
                <w:sz w:val="20"/>
                <w:szCs w:val="20"/>
                <w:highlight w:val="none"/>
              </w:rPr>
              <w:t>：</w:t>
            </w:r>
          </w:p>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合同签订----制版----剪裁----缝制---锁眼钉扣--整烫--检验----包装入库----交付</w:t>
            </w:r>
          </w:p>
          <w:p>
            <w:pPr>
              <w:rPr>
                <w:rFonts w:ascii="宋体" w:hAnsi="宋体"/>
                <w:color w:val="auto"/>
                <w:szCs w:val="21"/>
                <w:highlight w:val="none"/>
              </w:rPr>
            </w:pPr>
            <w:r>
              <w:rPr>
                <w:rFonts w:hint="eastAsia" w:ascii="宋体" w:hAnsi="宋体" w:eastAsia="宋体" w:cs="宋体"/>
                <w:color w:val="auto"/>
                <w:sz w:val="20"/>
                <w:szCs w:val="20"/>
                <w:highlight w:val="none"/>
              </w:rPr>
              <w:t>需确认/特殊过程：整烫</w:t>
            </w:r>
            <w:r>
              <w:rPr>
                <w:rFonts w:hint="eastAsia" w:ascii="宋体" w:hAnsi="宋体" w:eastAsia="宋体" w:cs="宋体"/>
                <w:color w:val="auto"/>
                <w:szCs w:val="21"/>
                <w:highlight w:val="none"/>
                <w:lang w:val="en-US" w:eastAsia="zh-CN"/>
              </w:rPr>
              <w:t>。</w:t>
            </w:r>
          </w:p>
          <w:p>
            <w:pPr>
              <w:tabs>
                <w:tab w:val="left" w:pos="1080"/>
              </w:tabs>
              <w:spacing w:line="400" w:lineRule="exact"/>
              <w:rPr>
                <w:rFonts w:hint="eastAsia" w:ascii="宋体" w:hAnsi="宋体"/>
                <w:szCs w:val="21"/>
              </w:rPr>
            </w:pPr>
          </w:p>
          <w:p>
            <w:pPr>
              <w:tabs>
                <w:tab w:val="left" w:pos="1080"/>
              </w:tabs>
              <w:spacing w:line="400" w:lineRule="exact"/>
              <w:rPr>
                <w:rFonts w:ascii="宋体" w:hAnsi="宋体"/>
                <w:szCs w:val="21"/>
              </w:rPr>
            </w:pPr>
            <w:r>
              <w:rPr>
                <w:rFonts w:hint="eastAsia" w:ascii="宋体" w:hAnsi="宋体"/>
                <w:szCs w:val="21"/>
              </w:rPr>
              <w:t>Q8.3条款，</w:t>
            </w:r>
            <w:r>
              <w:rPr>
                <w:rFonts w:hint="eastAsia" w:ascii="宋体" w:hAnsi="宋体"/>
                <w:szCs w:val="21"/>
                <w:lang w:eastAsia="zh-CN"/>
              </w:rPr>
              <w:t>理由：</w:t>
            </w:r>
            <w:r>
              <w:rPr>
                <w:rFonts w:hint="eastAsia" w:ascii="宋体" w:hAnsi="宋体" w:eastAsia="宋体" w:cs="Times New Roman"/>
                <w:szCs w:val="21"/>
              </w:rPr>
              <w:t>公司产品组织的生产是依据国标、顾客提供的图样及技术要求进行生产，因此标准“8.3产品和服务的设计和开发”不适用，该不适用不影响公司提供满足顾客要求和适用法律法规要求的产品的能力或责任。</w:t>
            </w:r>
          </w:p>
          <w:p>
            <w:pPr>
              <w:tabs>
                <w:tab w:val="left" w:pos="1080"/>
              </w:tabs>
              <w:spacing w:line="400" w:lineRule="exact"/>
              <w:rPr>
                <w:rFonts w:hint="eastAsia" w:ascii="宋体" w:hAnsi="宋体"/>
                <w:szCs w:val="21"/>
                <w:lang w:eastAsia="zh-CN"/>
              </w:rPr>
            </w:pPr>
          </w:p>
          <w:p>
            <w:pPr>
              <w:tabs>
                <w:tab w:val="left" w:pos="1080"/>
              </w:tabs>
              <w:spacing w:line="400" w:lineRule="exact"/>
              <w:rPr>
                <w:rFonts w:hint="eastAsia" w:ascii="宋体" w:hAnsi="宋体"/>
                <w:szCs w:val="21"/>
                <w:lang w:eastAsia="zh-CN"/>
              </w:rPr>
            </w:pPr>
            <w:r>
              <w:rPr>
                <w:rFonts w:hint="eastAsia" w:ascii="宋体" w:hAnsi="宋体"/>
                <w:szCs w:val="21"/>
                <w:lang w:eastAsia="zh-CN"/>
              </w:rPr>
              <w:t>无</w:t>
            </w:r>
          </w:p>
          <w:p>
            <w:pPr>
              <w:tabs>
                <w:tab w:val="left" w:pos="1080"/>
              </w:tabs>
              <w:spacing w:line="400" w:lineRule="exact"/>
              <w:rPr>
                <w:rFonts w:hint="eastAsia" w:ascii="宋体" w:hAnsi="宋体"/>
                <w:color w:val="000000" w:themeColor="text1"/>
                <w:sz w:val="21"/>
                <w:szCs w:val="21"/>
                <w:highlight w:val="none"/>
              </w:rPr>
            </w:pPr>
          </w:p>
          <w:p>
            <w:pPr>
              <w:tabs>
                <w:tab w:val="left" w:pos="1080"/>
              </w:tabs>
              <w:spacing w:line="400" w:lineRule="exact"/>
              <w:rPr>
                <w:rFonts w:ascii="宋体" w:hAnsi="宋体"/>
                <w:color w:val="000000" w:themeColor="text1"/>
                <w:szCs w:val="21"/>
              </w:rPr>
            </w:pPr>
            <w:r>
              <w:rPr>
                <w:rFonts w:hint="eastAsia" w:ascii="宋体" w:hAnsi="宋体"/>
                <w:color w:val="000000" w:themeColor="text1"/>
                <w:sz w:val="21"/>
                <w:szCs w:val="21"/>
                <w:highlight w:val="none"/>
              </w:rPr>
              <w:t>1）潜在火灾；2）固废的排放；3）废水排放；4）噪声排放</w:t>
            </w:r>
            <w:r>
              <w:rPr>
                <w:rFonts w:hint="eastAsia" w:ascii="宋体" w:hAnsi="宋体"/>
                <w:color w:val="000000" w:themeColor="text1"/>
                <w:szCs w:val="21"/>
              </w:rPr>
              <w:t>。</w:t>
            </w:r>
          </w:p>
          <w:p>
            <w:pPr>
              <w:numPr>
                <w:ilvl w:val="0"/>
                <w:numId w:val="2"/>
              </w:numPr>
              <w:tabs>
                <w:tab w:val="center" w:pos="3169"/>
              </w:tabs>
              <w:spacing w:line="400" w:lineRule="exact"/>
              <w:jc w:val="left"/>
              <w:rPr>
                <w:rFonts w:ascii="宋体" w:hAnsi="宋体"/>
                <w:color w:val="000000" w:themeColor="text1"/>
                <w:szCs w:val="21"/>
              </w:rPr>
            </w:pPr>
            <w:r>
              <w:rPr>
                <w:rFonts w:hint="eastAsia" w:ascii="宋体" w:hAnsi="宋体" w:cs="Times New Roman"/>
                <w:color w:val="000000" w:themeColor="text1"/>
                <w:sz w:val="21"/>
                <w:szCs w:val="21"/>
                <w:highlight w:val="none"/>
              </w:rPr>
              <w:t>火灾；2）机械伤害；3）</w:t>
            </w:r>
            <w:r>
              <w:rPr>
                <w:rFonts w:hint="eastAsia" w:ascii="宋体" w:hAnsi="宋体" w:cs="Times New Roman"/>
                <w:color w:val="000000" w:themeColor="text1"/>
                <w:sz w:val="21"/>
                <w:szCs w:val="21"/>
                <w:highlight w:val="none"/>
                <w:lang w:val="en-US" w:eastAsia="zh-CN"/>
              </w:rPr>
              <w:t>触电</w:t>
            </w:r>
            <w:r>
              <w:rPr>
                <w:rFonts w:hint="eastAsia" w:ascii="宋体" w:hAnsi="宋体" w:cs="Times New Roman"/>
                <w:color w:val="000000" w:themeColor="text1"/>
                <w:sz w:val="21"/>
                <w:szCs w:val="21"/>
                <w:highlight w:val="none"/>
              </w:rPr>
              <w:t>；4）职业病（</w:t>
            </w:r>
            <w:r>
              <w:rPr>
                <w:rFonts w:hint="eastAsia" w:ascii="宋体" w:hAnsi="宋体" w:cs="Times New Roman"/>
                <w:color w:val="000000" w:themeColor="text1"/>
                <w:sz w:val="21"/>
                <w:szCs w:val="21"/>
                <w:highlight w:val="none"/>
                <w:lang w:val="en-US" w:eastAsia="zh-CN"/>
              </w:rPr>
              <w:t>噪声、</w:t>
            </w:r>
            <w:r>
              <w:rPr>
                <w:rFonts w:hint="eastAsia" w:ascii="宋体" w:hAnsi="宋体" w:cs="Times New Roman"/>
                <w:color w:val="000000" w:themeColor="text1"/>
                <w:sz w:val="21"/>
                <w:szCs w:val="21"/>
                <w:highlight w:val="none"/>
              </w:rPr>
              <w:t>粉尘）</w:t>
            </w:r>
            <w:r>
              <w:rPr>
                <w:rFonts w:hint="eastAsia" w:ascii="宋体" w:hAnsi="宋体" w:cs="Times New Roman"/>
                <w:color w:val="000000" w:themeColor="text1"/>
                <w:sz w:val="21"/>
                <w:szCs w:val="21"/>
                <w:highlight w:val="none"/>
                <w:lang w:val="en-US" w:eastAsia="zh-CN"/>
              </w:rPr>
              <w:t>；5）烫伤</w:t>
            </w:r>
            <w:r>
              <w:rPr>
                <w:rFonts w:hint="eastAsia"/>
                <w:color w:val="000000" w:themeColor="text1"/>
                <w:szCs w:val="21"/>
              </w:rPr>
              <w:t>。</w:t>
            </w:r>
          </w:p>
          <w:p>
            <w:pPr>
              <w:tabs>
                <w:tab w:val="left" w:pos="1080"/>
              </w:tabs>
              <w:spacing w:line="400" w:lineRule="exact"/>
              <w:rPr>
                <w:rFonts w:hint="default" w:ascii="宋体" w:hAnsi="宋体"/>
                <w:szCs w:val="21"/>
                <w:lang w:val="en-US"/>
              </w:rPr>
            </w:pPr>
            <w:r>
              <w:rPr>
                <w:rFonts w:hint="eastAsia" w:ascii="宋体" w:hAnsi="宋体"/>
                <w:color w:val="000000" w:themeColor="text1"/>
                <w:szCs w:val="21"/>
                <w:highlight w:val="none"/>
              </w:rPr>
              <w:t>公司拟定有《火灾应急预案》，20</w:t>
            </w:r>
            <w:r>
              <w:rPr>
                <w:rFonts w:hint="eastAsia" w:ascii="宋体" w:hAnsi="宋体"/>
                <w:color w:val="000000" w:themeColor="text1"/>
                <w:szCs w:val="21"/>
                <w:highlight w:val="none"/>
                <w:lang w:val="en-US" w:eastAsia="zh-CN"/>
              </w:rPr>
              <w:t>20</w:t>
            </w:r>
            <w:r>
              <w:rPr>
                <w:rFonts w:hint="eastAsia" w:ascii="宋体" w:hAnsi="宋体"/>
                <w:color w:val="000000" w:themeColor="text1"/>
                <w:szCs w:val="21"/>
                <w:highlight w:val="none"/>
              </w:rPr>
              <w:t>年</w:t>
            </w:r>
            <w:r>
              <w:rPr>
                <w:rFonts w:hint="eastAsia" w:ascii="宋体" w:hAnsi="宋体"/>
                <w:color w:val="000000" w:themeColor="text1"/>
                <w:szCs w:val="21"/>
                <w:highlight w:val="none"/>
                <w:lang w:val="en-US" w:eastAsia="zh-CN"/>
              </w:rPr>
              <w:t>10</w:t>
            </w:r>
            <w:r>
              <w:rPr>
                <w:rFonts w:hint="eastAsia" w:ascii="宋体" w:hAnsi="宋体"/>
                <w:color w:val="000000" w:themeColor="text1"/>
                <w:szCs w:val="21"/>
                <w:highlight w:val="none"/>
              </w:rPr>
              <w:t>月</w:t>
            </w:r>
            <w:r>
              <w:rPr>
                <w:rFonts w:hint="eastAsia" w:ascii="宋体" w:hAnsi="宋体"/>
                <w:color w:val="000000" w:themeColor="text1"/>
                <w:szCs w:val="21"/>
                <w:highlight w:val="none"/>
                <w:lang w:val="en-US" w:eastAsia="zh-CN"/>
              </w:rPr>
              <w:t>12</w:t>
            </w:r>
            <w:r>
              <w:rPr>
                <w:rFonts w:hint="eastAsia" w:ascii="宋体" w:hAnsi="宋体"/>
                <w:color w:val="000000" w:themeColor="text1"/>
                <w:szCs w:val="21"/>
                <w:highlight w:val="none"/>
              </w:rPr>
              <w:t>日进行了火灾</w:t>
            </w:r>
            <w:r>
              <w:rPr>
                <w:rFonts w:hint="eastAsia" w:ascii="宋体" w:hAnsi="宋体"/>
                <w:color w:val="000000" w:themeColor="text1"/>
                <w:szCs w:val="21"/>
                <w:highlight w:val="none"/>
                <w:lang w:val="en-US" w:eastAsia="zh-CN"/>
              </w:rPr>
              <w:t>应急演练。</w:t>
            </w:r>
          </w:p>
        </w:tc>
        <w:tc>
          <w:tcPr>
            <w:tcW w:w="1003" w:type="dxa"/>
          </w:tcPr>
          <w:p>
            <w:pPr>
              <w:adjustRightInd w:val="0"/>
              <w:snapToGrid w:val="0"/>
              <w:rPr>
                <w:rFonts w:ascii="宋体" w:hAnsi="宋体"/>
                <w:szCs w:val="21"/>
              </w:rPr>
            </w:pPr>
            <w:r>
              <w:rPr>
                <w:rFonts w:hint="eastAsia" w:ascii="宋体" w:hAnsi="宋体"/>
                <w:szCs w:val="21"/>
              </w:rPr>
              <w:t>Q/E/S:8.1、8.2;</w:t>
            </w:r>
          </w:p>
          <w:p>
            <w:pPr>
              <w:adjustRightInd w:val="0"/>
              <w:snapToGrid w:val="0"/>
              <w:rPr>
                <w:rFonts w:ascii="宋体" w:hAnsi="宋体"/>
                <w:szCs w:val="21"/>
              </w:rPr>
            </w:pPr>
            <w:r>
              <w:rPr>
                <w:rFonts w:hint="eastAsia" w:ascii="宋体" w:hAnsi="宋体"/>
                <w:szCs w:val="21"/>
              </w:rPr>
              <w:t>E/S;6.1.2;</w:t>
            </w:r>
          </w:p>
          <w:p>
            <w:pPr>
              <w:adjustRightInd w:val="0"/>
              <w:snapToGrid w:val="0"/>
              <w:rPr>
                <w:rFonts w:ascii="宋体" w:hAnsi="宋体"/>
                <w:szCs w:val="21"/>
              </w:rPr>
            </w:pPr>
            <w:r>
              <w:rPr>
                <w:rFonts w:hint="eastAsia" w:ascii="宋体" w:hAnsi="宋体"/>
                <w:szCs w:val="21"/>
              </w:rPr>
              <w:t>Q8.3</w:t>
            </w:r>
          </w:p>
        </w:tc>
        <w:tc>
          <w:tcPr>
            <w:tcW w:w="851" w:type="dxa"/>
          </w:tcPr>
          <w:p>
            <w:pPr>
              <w:tabs>
                <w:tab w:val="left" w:pos="1080"/>
              </w:tabs>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701" w:type="dxa"/>
          </w:tcPr>
          <w:p>
            <w:pPr>
              <w:spacing w:line="400" w:lineRule="exact"/>
              <w:rPr>
                <w:rFonts w:ascii="宋体" w:hAnsi="宋体"/>
                <w:szCs w:val="21"/>
              </w:rPr>
            </w:pPr>
            <w:r>
              <w:rPr>
                <w:rFonts w:hint="eastAsia" w:ascii="宋体" w:hAnsi="宋体"/>
                <w:szCs w:val="21"/>
              </w:rPr>
              <w:t>设计开发产品或项目名称</w:t>
            </w:r>
          </w:p>
          <w:p>
            <w:pPr>
              <w:spacing w:line="400" w:lineRule="exact"/>
              <w:rPr>
                <w:rFonts w:ascii="宋体" w:hAnsi="宋体"/>
                <w:szCs w:val="21"/>
              </w:rPr>
            </w:pPr>
            <w:r>
              <w:rPr>
                <w:rFonts w:hint="eastAsia" w:ascii="宋体" w:hAnsi="宋体"/>
                <w:szCs w:val="21"/>
              </w:rPr>
              <w:t>主要原材料</w:t>
            </w:r>
          </w:p>
        </w:tc>
        <w:tc>
          <w:tcPr>
            <w:tcW w:w="9579" w:type="dxa"/>
          </w:tcPr>
          <w:p>
            <w:pPr>
              <w:spacing w:line="400" w:lineRule="exact"/>
              <w:rPr>
                <w:color w:val="000000"/>
              </w:rPr>
            </w:pPr>
            <w:r>
              <w:rPr>
                <w:rFonts w:hint="eastAsia"/>
                <w:color w:val="000000"/>
              </w:rPr>
              <w:t>无</w:t>
            </w:r>
          </w:p>
          <w:p>
            <w:pPr>
              <w:spacing w:line="400" w:lineRule="exact"/>
              <w:rPr>
                <w:rFonts w:hint="eastAsia" w:eastAsia="宋体"/>
                <w:lang w:eastAsia="zh-CN"/>
              </w:rPr>
            </w:pPr>
            <w:r>
              <w:rPr>
                <w:rFonts w:hint="eastAsia"/>
                <w:szCs w:val="21"/>
                <w:highlight w:val="none"/>
              </w:rPr>
              <w:t>原材料主要为</w:t>
            </w:r>
            <w:r>
              <w:rPr>
                <w:rFonts w:hint="eastAsia"/>
                <w:color w:val="auto"/>
                <w:szCs w:val="21"/>
                <w:highlight w:val="none"/>
                <w:lang w:val="en-US" w:eastAsia="zh-CN"/>
              </w:rPr>
              <w:t>布料、发光材料、钮扣</w:t>
            </w:r>
            <w:r>
              <w:rPr>
                <w:rFonts w:hint="eastAsia" w:ascii="Times New Roman" w:hAnsi="Times New Roman" w:cs="Times New Roman"/>
                <w:color w:val="auto"/>
                <w:szCs w:val="21"/>
                <w:highlight w:val="none"/>
                <w:lang w:val="en-US" w:eastAsia="zh-CN"/>
              </w:rPr>
              <w:t>等</w:t>
            </w:r>
            <w:r>
              <w:rPr>
                <w:rFonts w:hint="eastAsia"/>
                <w:szCs w:val="21"/>
                <w:highlight w:val="none"/>
              </w:rPr>
              <w:t>。</w:t>
            </w:r>
          </w:p>
        </w:tc>
        <w:tc>
          <w:tcPr>
            <w:tcW w:w="1003" w:type="dxa"/>
          </w:tcPr>
          <w:p>
            <w:pPr>
              <w:spacing w:line="440" w:lineRule="exact"/>
              <w:jc w:val="left"/>
              <w:rPr>
                <w:rFonts w:ascii="宋体" w:hAnsi="宋体"/>
                <w:szCs w:val="21"/>
              </w:rPr>
            </w:pPr>
            <w:r>
              <w:rPr>
                <w:rFonts w:hint="eastAsia" w:ascii="宋体" w:hAnsi="宋体"/>
                <w:szCs w:val="21"/>
              </w:rPr>
              <w:t>Q8.3</w:t>
            </w:r>
          </w:p>
        </w:tc>
        <w:tc>
          <w:tcPr>
            <w:tcW w:w="851" w:type="dxa"/>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3701" w:type="dxa"/>
          </w:tcPr>
          <w:p>
            <w:pPr>
              <w:spacing w:line="400" w:lineRule="exact"/>
              <w:rPr>
                <w:rFonts w:ascii="宋体" w:hAnsi="宋体"/>
                <w:szCs w:val="21"/>
                <w:u w:val="single"/>
              </w:rPr>
            </w:pPr>
            <w:r>
              <w:rPr>
                <w:rFonts w:hint="eastAsia" w:ascii="宋体" w:hAnsi="宋体"/>
                <w:szCs w:val="21"/>
                <w:u w:val="single"/>
              </w:rPr>
              <w:t>员工人数</w:t>
            </w:r>
          </w:p>
          <w:p>
            <w:pPr>
              <w:spacing w:line="400" w:lineRule="exact"/>
              <w:rPr>
                <w:rFonts w:ascii="宋体" w:hAnsi="宋体"/>
                <w:szCs w:val="21"/>
              </w:rPr>
            </w:pPr>
            <w:r>
              <w:rPr>
                <w:rFonts w:hint="eastAsia" w:ascii="宋体" w:hAnsi="宋体"/>
                <w:szCs w:val="21"/>
              </w:rPr>
              <w:t>关键岗位持证上岗人员</w:t>
            </w:r>
          </w:p>
          <w:p>
            <w:pPr>
              <w:spacing w:line="400" w:lineRule="exact"/>
              <w:rPr>
                <w:rFonts w:ascii="宋体" w:hAnsi="宋体"/>
                <w:szCs w:val="21"/>
              </w:rPr>
            </w:pPr>
            <w:r>
              <w:rPr>
                <w:rFonts w:hint="eastAsia" w:ascii="宋体" w:hAnsi="宋体"/>
                <w:szCs w:val="21"/>
              </w:rPr>
              <w:t>特殊工种人员</w:t>
            </w:r>
          </w:p>
        </w:tc>
        <w:tc>
          <w:tcPr>
            <w:tcW w:w="9579" w:type="dxa"/>
          </w:tcPr>
          <w:p>
            <w:pPr>
              <w:spacing w:line="400" w:lineRule="exact"/>
              <w:rPr>
                <w:szCs w:val="21"/>
              </w:rPr>
            </w:pPr>
            <w:r>
              <w:rPr>
                <w:rFonts w:hint="eastAsia"/>
                <w:szCs w:val="21"/>
              </w:rPr>
              <w:t>现场核实人数</w:t>
            </w:r>
            <w:r>
              <w:rPr>
                <w:rFonts w:hint="eastAsia"/>
                <w:szCs w:val="21"/>
                <w:lang w:val="en-US" w:eastAsia="zh-CN"/>
              </w:rPr>
              <w:t>25</w:t>
            </w:r>
            <w:r>
              <w:rPr>
                <w:rFonts w:hint="eastAsia"/>
                <w:szCs w:val="21"/>
              </w:rPr>
              <w:t>人，与任务书一致。</w:t>
            </w:r>
          </w:p>
          <w:p>
            <w:pPr>
              <w:spacing w:line="400" w:lineRule="exact"/>
              <w:rPr>
                <w:szCs w:val="21"/>
                <w:highlight w:val="none"/>
              </w:rPr>
            </w:pPr>
            <w:r>
              <w:rPr>
                <w:rFonts w:hint="eastAsia"/>
                <w:szCs w:val="21"/>
                <w:highlight w:val="none"/>
                <w:lang w:eastAsia="zh-CN"/>
              </w:rPr>
              <w:t>操作人员、检验人员</w:t>
            </w:r>
            <w:r>
              <w:rPr>
                <w:rFonts w:hint="eastAsia"/>
                <w:szCs w:val="21"/>
                <w:highlight w:val="none"/>
              </w:rPr>
              <w:t>等。</w:t>
            </w:r>
          </w:p>
          <w:p>
            <w:pPr>
              <w:spacing w:line="400" w:lineRule="exact"/>
              <w:rPr>
                <w:rFonts w:hint="default" w:ascii="宋体" w:hAnsi="宋体" w:eastAsia="宋体"/>
                <w:szCs w:val="21"/>
                <w:lang w:val="en-US" w:eastAsia="zh-CN"/>
              </w:rPr>
            </w:pPr>
            <w:r>
              <w:rPr>
                <w:rFonts w:hint="eastAsia" w:ascii="宋体" w:hAnsi="宋体"/>
                <w:szCs w:val="21"/>
                <w:highlight w:val="none"/>
                <w:lang w:val="en-US" w:eastAsia="zh-CN"/>
              </w:rPr>
              <w:t>无。</w:t>
            </w:r>
          </w:p>
        </w:tc>
        <w:tc>
          <w:tcPr>
            <w:tcW w:w="1003" w:type="dxa"/>
          </w:tcPr>
          <w:p>
            <w:pPr>
              <w:spacing w:line="440" w:lineRule="exact"/>
              <w:jc w:val="left"/>
              <w:rPr>
                <w:rFonts w:ascii="宋体" w:hAnsi="宋体"/>
                <w:szCs w:val="21"/>
              </w:rPr>
            </w:pPr>
            <w:r>
              <w:rPr>
                <w:rFonts w:hint="eastAsia" w:ascii="宋体" w:hAnsi="宋体"/>
                <w:szCs w:val="21"/>
              </w:rPr>
              <w:t>Q/E/S:7.2</w:t>
            </w:r>
          </w:p>
        </w:tc>
        <w:tc>
          <w:tcPr>
            <w:tcW w:w="851" w:type="dxa"/>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701" w:type="dxa"/>
          </w:tcPr>
          <w:p>
            <w:pPr>
              <w:spacing w:line="400" w:lineRule="exact"/>
              <w:rPr>
                <w:rFonts w:hint="eastAsia" w:ascii="宋体" w:hAnsi="宋体"/>
                <w:szCs w:val="21"/>
              </w:rPr>
            </w:pPr>
            <w:r>
              <w:rPr>
                <w:rFonts w:hint="eastAsia" w:ascii="宋体" w:hAnsi="宋体"/>
                <w:szCs w:val="21"/>
              </w:rPr>
              <w:t>主要生产设备</w:t>
            </w:r>
          </w:p>
          <w:p>
            <w:pPr>
              <w:pStyle w:val="2"/>
            </w:pP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特种设备</w:t>
            </w:r>
          </w:p>
          <w:p>
            <w:pPr>
              <w:spacing w:line="400" w:lineRule="exact"/>
              <w:rPr>
                <w:rFonts w:hint="eastAsia"/>
                <w:szCs w:val="21"/>
              </w:rPr>
            </w:pPr>
          </w:p>
          <w:p>
            <w:pPr>
              <w:spacing w:line="400" w:lineRule="exact"/>
              <w:rPr>
                <w:rFonts w:hint="eastAsia"/>
                <w:szCs w:val="21"/>
              </w:rPr>
            </w:pPr>
            <w:r>
              <w:rPr>
                <w:rFonts w:hint="eastAsia"/>
                <w:szCs w:val="21"/>
              </w:rPr>
              <w:t>环保设施（EMS）</w:t>
            </w:r>
          </w:p>
          <w:p>
            <w:pPr>
              <w:spacing w:line="400" w:lineRule="exact"/>
              <w:rPr>
                <w:szCs w:val="21"/>
              </w:rPr>
            </w:pPr>
            <w:r>
              <w:rPr>
                <w:rFonts w:hint="eastAsia"/>
                <w:szCs w:val="21"/>
              </w:rPr>
              <w:t>安全设施（OHSMS）</w:t>
            </w:r>
          </w:p>
          <w:p>
            <w:pPr>
              <w:spacing w:line="400" w:lineRule="exact"/>
              <w:rPr>
                <w:szCs w:val="21"/>
              </w:rPr>
            </w:pPr>
            <w:r>
              <w:rPr>
                <w:rFonts w:hint="eastAsia"/>
                <w:szCs w:val="21"/>
              </w:rPr>
              <w:t>主要检测设备及设备的检定/校准（QMS）</w:t>
            </w:r>
          </w:p>
          <w:p>
            <w:pPr>
              <w:spacing w:line="400" w:lineRule="exact"/>
              <w:rPr>
                <w:rFonts w:hint="eastAsia"/>
                <w:szCs w:val="21"/>
              </w:rPr>
            </w:pPr>
          </w:p>
          <w:p>
            <w:pPr>
              <w:spacing w:line="400" w:lineRule="exact"/>
              <w:rPr>
                <w:szCs w:val="21"/>
              </w:rPr>
            </w:pPr>
            <w:r>
              <w:rPr>
                <w:rFonts w:hint="eastAsia"/>
                <w:szCs w:val="21"/>
              </w:rPr>
              <w:t>环保监测设备（EMS）</w:t>
            </w:r>
          </w:p>
          <w:p>
            <w:pPr>
              <w:spacing w:line="400" w:lineRule="exact"/>
              <w:rPr>
                <w:szCs w:val="21"/>
              </w:rPr>
            </w:pPr>
            <w:r>
              <w:rPr>
                <w:rFonts w:hint="eastAsia"/>
                <w:szCs w:val="21"/>
              </w:rPr>
              <w:t>安全监测设备（OHSMS）</w:t>
            </w:r>
          </w:p>
        </w:tc>
        <w:tc>
          <w:tcPr>
            <w:tcW w:w="9579" w:type="dxa"/>
          </w:tcPr>
          <w:p>
            <w:pPr>
              <w:rPr>
                <w:rFonts w:ascii="宋体" w:hAnsi="宋体"/>
                <w:color w:val="000000" w:themeColor="text1"/>
                <w:szCs w:val="21"/>
                <w:highlight w:val="none"/>
              </w:rPr>
            </w:pPr>
            <w:r>
              <w:rPr>
                <w:rFonts w:hint="eastAsia" w:ascii="宋体" w:hAnsi="宋体" w:cs="宋体"/>
                <w:color w:val="000000" w:themeColor="text1"/>
                <w:sz w:val="21"/>
                <w:szCs w:val="21"/>
              </w:rPr>
              <w:t>蒸汽发生器、电剪、缝纫机、锁眼机、双针机、 橡筋拉摆机、包缝机、打结机等</w:t>
            </w:r>
            <w:r>
              <w:rPr>
                <w:rStyle w:val="12"/>
                <w:rFonts w:hint="eastAsia" w:ascii="宋体" w:hAnsi="宋体"/>
                <w:color w:val="000000" w:themeColor="text1"/>
                <w:szCs w:val="21"/>
                <w:highlight w:val="none"/>
              </w:rPr>
              <w:t>。</w:t>
            </w:r>
          </w:p>
          <w:p>
            <w:pPr>
              <w:pStyle w:val="2"/>
              <w:rPr>
                <w:highlight w:val="green"/>
              </w:rPr>
            </w:pPr>
          </w:p>
          <w:p>
            <w:pPr>
              <w:spacing w:line="400" w:lineRule="exact"/>
              <w:rPr>
                <w:rFonts w:hint="eastAsia" w:ascii="宋体" w:hAnsi="宋体" w:cs="宋体"/>
                <w:color w:val="000000"/>
                <w:kern w:val="0"/>
                <w:szCs w:val="21"/>
                <w:highlight w:val="none"/>
              </w:rPr>
            </w:pPr>
          </w:p>
          <w:p>
            <w:pPr>
              <w:spacing w:line="400" w:lineRule="exact"/>
              <w:rPr>
                <w:rFonts w:hint="default" w:ascii="宋体" w:hAnsi="宋体" w:cs="宋体"/>
                <w:szCs w:val="21"/>
                <w:highlight w:val="none"/>
                <w:lang w:val="en-US" w:eastAsia="zh-CN"/>
              </w:rPr>
            </w:pPr>
            <w:r>
              <w:rPr>
                <w:rFonts w:hint="eastAsia" w:ascii="宋体" w:hAnsi="宋体" w:cs="宋体"/>
                <w:szCs w:val="21"/>
                <w:highlight w:val="none"/>
                <w:lang w:val="en-US" w:eastAsia="zh-CN"/>
              </w:rPr>
              <w:t>简易升降机两台，提供有定期检验报告。</w:t>
            </w:r>
          </w:p>
          <w:p>
            <w:pPr>
              <w:spacing w:line="400" w:lineRule="exact"/>
              <w:rPr>
                <w:rFonts w:hint="eastAsia" w:ascii="宋体" w:hAnsi="宋体" w:cs="宋体"/>
                <w:color w:val="FF0000"/>
                <w:szCs w:val="21"/>
                <w:highlight w:val="none"/>
                <w:lang w:val="en-US" w:eastAsia="zh-CN"/>
              </w:rPr>
            </w:pPr>
          </w:p>
          <w:p>
            <w:pPr>
              <w:spacing w:line="400" w:lineRule="exact"/>
              <w:rPr>
                <w:rFonts w:hint="eastAsia"/>
                <w:color w:val="000000" w:themeColor="text1"/>
                <w:szCs w:val="21"/>
                <w:highlight w:val="none"/>
              </w:rPr>
            </w:pPr>
            <w:r>
              <w:rPr>
                <w:rFonts w:hint="eastAsia" w:ascii="宋体" w:hAnsi="宋体" w:cs="宋体"/>
                <w:color w:val="000000" w:themeColor="text1"/>
                <w:szCs w:val="21"/>
                <w:highlight w:val="none"/>
                <w:lang w:val="en-US" w:eastAsia="zh-CN"/>
              </w:rPr>
              <w:t>排风扇、火灾喷淋装置等</w:t>
            </w:r>
            <w:bookmarkStart w:id="3" w:name="_GoBack"/>
            <w:bookmarkEnd w:id="3"/>
            <w:r>
              <w:rPr>
                <w:rFonts w:hint="eastAsia"/>
                <w:color w:val="000000" w:themeColor="text1"/>
                <w:szCs w:val="21"/>
                <w:highlight w:val="none"/>
              </w:rPr>
              <w:t>。</w:t>
            </w:r>
          </w:p>
          <w:p>
            <w:pPr>
              <w:spacing w:line="400" w:lineRule="exact"/>
              <w:rPr>
                <w:szCs w:val="21"/>
                <w:highlight w:val="none"/>
              </w:rPr>
            </w:pPr>
            <w:r>
              <w:rPr>
                <w:rFonts w:hint="eastAsia"/>
                <w:szCs w:val="21"/>
                <w:highlight w:val="none"/>
              </w:rPr>
              <w:t>配电箱、空开</w:t>
            </w:r>
            <w:r>
              <w:rPr>
                <w:rFonts w:hint="eastAsia"/>
                <w:szCs w:val="21"/>
                <w:highlight w:val="none"/>
                <w:lang w:eastAsia="zh-CN"/>
              </w:rPr>
              <w:t>、</w:t>
            </w:r>
            <w:r>
              <w:rPr>
                <w:rFonts w:hint="eastAsia" w:ascii="宋体" w:hAnsi="宋体" w:cs="宋体"/>
                <w:color w:val="000000" w:themeColor="text1"/>
                <w:szCs w:val="21"/>
                <w:highlight w:val="none"/>
                <w:lang w:val="en-US" w:eastAsia="zh-CN"/>
              </w:rPr>
              <w:t>火灾喷淋装置</w:t>
            </w:r>
            <w:r>
              <w:rPr>
                <w:rFonts w:hint="eastAsia"/>
                <w:szCs w:val="21"/>
                <w:highlight w:val="none"/>
              </w:rPr>
              <w:t>等</w:t>
            </w:r>
          </w:p>
          <w:p>
            <w:pPr>
              <w:spacing w:line="400" w:lineRule="exact"/>
              <w:rPr>
                <w:color w:val="000000" w:themeColor="text1"/>
                <w:szCs w:val="21"/>
                <w:highlight w:val="none"/>
              </w:rPr>
            </w:pPr>
            <w:r>
              <w:rPr>
                <w:rFonts w:hint="eastAsia" w:ascii="宋体" w:hAnsi="宋体" w:cs="宋体"/>
                <w:color w:val="000000" w:themeColor="text1"/>
                <w:szCs w:val="21"/>
                <w:highlight w:val="none"/>
                <w:lang w:val="en-US" w:eastAsia="zh-CN"/>
              </w:rPr>
              <w:t>静酸压试验仪、摩擦带电电荷测试仪、垂直法阻燃性能测试仪、点对点电阻测试仪、织物强力机</w:t>
            </w:r>
            <w:r>
              <w:rPr>
                <w:rFonts w:hint="eastAsia" w:ascii="宋体" w:hAnsi="宋体" w:cs="宋体"/>
                <w:color w:val="000000" w:themeColor="text1"/>
                <w:szCs w:val="21"/>
                <w:highlight w:val="none"/>
              </w:rPr>
              <w:t>等。</w:t>
            </w:r>
            <w:r>
              <w:rPr>
                <w:rFonts w:hint="eastAsia" w:ascii="宋体" w:hAnsi="宋体" w:cs="宋体"/>
                <w:color w:val="000000" w:themeColor="text1"/>
                <w:szCs w:val="21"/>
                <w:highlight w:val="none"/>
                <w:lang w:val="en-US" w:eastAsia="zh-CN"/>
              </w:rPr>
              <w:t>均能</w:t>
            </w:r>
            <w:r>
              <w:rPr>
                <w:rFonts w:hint="eastAsia" w:ascii="宋体" w:hAnsi="宋体" w:cs="宋体"/>
                <w:color w:val="000000" w:themeColor="text1"/>
                <w:szCs w:val="21"/>
                <w:highlight w:val="none"/>
              </w:rPr>
              <w:t>提供有效校准或检定证书。</w:t>
            </w:r>
          </w:p>
          <w:p>
            <w:pPr>
              <w:spacing w:line="400" w:lineRule="exact"/>
              <w:rPr>
                <w:rFonts w:hint="eastAsia" w:ascii="宋体" w:hAnsi="宋体"/>
                <w:szCs w:val="21"/>
                <w:highlight w:val="none"/>
                <w:lang w:val="en-US" w:eastAsia="zh-CN"/>
              </w:rPr>
            </w:pPr>
          </w:p>
          <w:p>
            <w:pPr>
              <w:spacing w:line="400" w:lineRule="exact"/>
              <w:rPr>
                <w:rFonts w:hint="eastAsia" w:ascii="宋体" w:hAnsi="宋体"/>
                <w:szCs w:val="21"/>
                <w:highlight w:val="none"/>
                <w:lang w:val="en-US" w:eastAsia="zh-CN"/>
              </w:rPr>
            </w:pPr>
            <w:r>
              <w:rPr>
                <w:rFonts w:hint="eastAsia" w:ascii="宋体" w:hAnsi="宋体"/>
                <w:szCs w:val="21"/>
                <w:highlight w:val="none"/>
                <w:lang w:val="en-US" w:eastAsia="zh-CN"/>
              </w:rPr>
              <w:t>无</w:t>
            </w:r>
          </w:p>
          <w:p>
            <w:pPr>
              <w:spacing w:line="400" w:lineRule="exact"/>
              <w:rPr>
                <w:szCs w:val="21"/>
              </w:rPr>
            </w:pPr>
            <w:r>
              <w:rPr>
                <w:rFonts w:hint="eastAsia" w:ascii="宋体" w:hAnsi="宋体"/>
                <w:szCs w:val="21"/>
                <w:highlight w:val="none"/>
                <w:lang w:val="en-US" w:eastAsia="zh-CN"/>
              </w:rPr>
              <w:t>无</w:t>
            </w:r>
          </w:p>
        </w:tc>
        <w:tc>
          <w:tcPr>
            <w:tcW w:w="1003" w:type="dxa"/>
          </w:tcPr>
          <w:p>
            <w:pPr>
              <w:spacing w:line="440" w:lineRule="exact"/>
              <w:jc w:val="left"/>
              <w:rPr>
                <w:rFonts w:ascii="宋体" w:hAnsi="宋体"/>
                <w:szCs w:val="21"/>
                <w:highlight w:val="none"/>
              </w:rPr>
            </w:pPr>
            <w:r>
              <w:rPr>
                <w:rFonts w:hint="eastAsia" w:ascii="宋体" w:hAnsi="宋体"/>
                <w:szCs w:val="21"/>
                <w:highlight w:val="none"/>
              </w:rPr>
              <w:t>Q/E/S:7.1</w:t>
            </w:r>
          </w:p>
          <w:p>
            <w:pPr>
              <w:pStyle w:val="2"/>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Q7.1.3</w:t>
            </w:r>
          </w:p>
          <w:p>
            <w:pPr>
              <w:spacing w:line="440" w:lineRule="exact"/>
              <w:jc w:val="center"/>
              <w:rPr>
                <w:rFonts w:ascii="宋体" w:hAnsi="宋体"/>
                <w:szCs w:val="21"/>
                <w:highlight w:val="none"/>
              </w:rPr>
            </w:pPr>
          </w:p>
          <w:p>
            <w:pPr>
              <w:spacing w:line="440" w:lineRule="exact"/>
              <w:jc w:val="center"/>
              <w:rPr>
                <w:rFonts w:ascii="宋体" w:hAnsi="宋体"/>
                <w:szCs w:val="21"/>
                <w:highlight w:val="none"/>
              </w:rPr>
            </w:pPr>
          </w:p>
          <w:p>
            <w:pPr>
              <w:spacing w:line="440" w:lineRule="exact"/>
              <w:jc w:val="both"/>
              <w:rPr>
                <w:rFonts w:hint="eastAsia" w:ascii="宋体" w:hAnsi="宋体"/>
                <w:szCs w:val="21"/>
                <w:highlight w:val="none"/>
                <w:lang w:val="en-US" w:eastAsia="zh-CN"/>
              </w:rPr>
            </w:pPr>
          </w:p>
          <w:p>
            <w:pPr>
              <w:spacing w:line="440" w:lineRule="exact"/>
              <w:jc w:val="both"/>
              <w:rPr>
                <w:rFonts w:hint="default" w:ascii="宋体" w:hAnsi="宋体" w:eastAsia="宋体"/>
                <w:color w:val="000000" w:themeColor="text1"/>
                <w:szCs w:val="21"/>
                <w:highlight w:val="none"/>
                <w:lang w:val="en-US" w:eastAsia="zh-CN"/>
              </w:rPr>
            </w:pPr>
            <w:r>
              <w:rPr>
                <w:rFonts w:hint="eastAsia" w:ascii="宋体" w:hAnsi="宋体"/>
                <w:color w:val="000000" w:themeColor="text1"/>
                <w:szCs w:val="21"/>
                <w:highlight w:val="none"/>
                <w:lang w:val="en-US" w:eastAsia="zh-CN"/>
              </w:rPr>
              <w:t>Q7.1.5</w:t>
            </w:r>
          </w:p>
          <w:p>
            <w:pPr>
              <w:spacing w:line="440" w:lineRule="exact"/>
              <w:jc w:val="center"/>
              <w:rPr>
                <w:rFonts w:ascii="宋体" w:hAnsi="宋体"/>
                <w:szCs w:val="21"/>
                <w:highlight w:val="none"/>
              </w:rPr>
            </w:pPr>
          </w:p>
          <w:p>
            <w:pPr>
              <w:spacing w:line="440" w:lineRule="exact"/>
              <w:jc w:val="center"/>
              <w:rPr>
                <w:rFonts w:ascii="宋体" w:hAnsi="宋体"/>
                <w:szCs w:val="21"/>
                <w:highlight w:val="none"/>
              </w:rPr>
            </w:pPr>
          </w:p>
          <w:p>
            <w:pPr>
              <w:spacing w:line="440" w:lineRule="exact"/>
              <w:rPr>
                <w:rFonts w:ascii="宋体" w:hAnsi="宋体"/>
                <w:szCs w:val="21"/>
                <w:highlight w:val="none"/>
              </w:rPr>
            </w:pPr>
          </w:p>
        </w:tc>
        <w:tc>
          <w:tcPr>
            <w:tcW w:w="851" w:type="dxa"/>
          </w:tcPr>
          <w:p>
            <w:pPr>
              <w:spacing w:line="440" w:lineRule="exact"/>
              <w:jc w:val="center"/>
              <w:rPr>
                <w:rFonts w:ascii="宋体" w:hAnsi="宋体"/>
                <w:szCs w:val="21"/>
                <w:highlight w:val="none"/>
              </w:rPr>
            </w:pPr>
          </w:p>
          <w:p>
            <w:pPr>
              <w:spacing w:line="440" w:lineRule="exact"/>
              <w:jc w:val="center"/>
              <w:rPr>
                <w:rFonts w:ascii="宋体" w:hAnsi="宋体"/>
                <w:szCs w:val="21"/>
                <w:highlight w:val="none"/>
              </w:rPr>
            </w:pPr>
          </w:p>
          <w:p>
            <w:pPr>
              <w:spacing w:line="440" w:lineRule="exact"/>
              <w:jc w:val="center"/>
              <w:rPr>
                <w:rFonts w:ascii="宋体" w:hAnsi="宋体"/>
                <w:szCs w:val="21"/>
                <w:highlight w:val="none"/>
              </w:rPr>
            </w:pPr>
          </w:p>
          <w:p>
            <w:pPr>
              <w:spacing w:line="440" w:lineRule="exact"/>
              <w:jc w:val="center"/>
              <w:rPr>
                <w:rFonts w:ascii="宋体" w:hAnsi="宋体"/>
                <w:szCs w:val="21"/>
                <w:highlight w:val="none"/>
              </w:rPr>
            </w:pPr>
          </w:p>
          <w:p>
            <w:pPr>
              <w:spacing w:line="440" w:lineRule="exact"/>
              <w:jc w:val="both"/>
              <w:rPr>
                <w:rFonts w:hint="eastAsia" w:ascii="宋体" w:hAnsi="宋体"/>
                <w:szCs w:val="21"/>
                <w:highlight w:val="none"/>
                <w:lang w:val="en-US" w:eastAsia="zh-CN"/>
              </w:rPr>
            </w:pPr>
          </w:p>
          <w:p>
            <w:pPr>
              <w:pStyle w:val="2"/>
              <w:rPr>
                <w:rFonts w:hint="eastAsia"/>
                <w:lang w:val="en-US" w:eastAsia="zh-CN"/>
              </w:rPr>
            </w:pPr>
          </w:p>
          <w:p>
            <w:pPr>
              <w:spacing w:line="440" w:lineRule="exact"/>
              <w:jc w:val="center"/>
              <w:rPr>
                <w:rFonts w:ascii="宋体" w:hAnsi="宋体"/>
                <w:szCs w:val="21"/>
                <w:highlight w:val="none"/>
              </w:rPr>
            </w:pPr>
          </w:p>
          <w:p>
            <w:pPr>
              <w:spacing w:line="440" w:lineRule="exact"/>
              <w:jc w:val="center"/>
              <w:rPr>
                <w:rFonts w:ascii="宋体" w:hAnsi="宋体"/>
                <w:szCs w:val="21"/>
                <w:highlight w:val="none"/>
              </w:rPr>
            </w:pPr>
          </w:p>
          <w:p>
            <w:pPr>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3701" w:type="dxa"/>
          </w:tcPr>
          <w:p>
            <w:pPr>
              <w:spacing w:line="400" w:lineRule="exact"/>
              <w:rPr>
                <w:rFonts w:ascii="宋体" w:hAnsi="宋体"/>
                <w:szCs w:val="21"/>
              </w:rPr>
            </w:pPr>
            <w:r>
              <w:rPr>
                <w:rFonts w:hint="eastAsia" w:ascii="宋体" w:hAnsi="宋体"/>
                <w:szCs w:val="21"/>
              </w:rPr>
              <w:t>周边环境（EMS）</w:t>
            </w:r>
          </w:p>
          <w:p>
            <w:pPr>
              <w:spacing w:line="400" w:lineRule="exact"/>
              <w:rPr>
                <w:rFonts w:ascii="宋体" w:hAnsi="宋体"/>
                <w:szCs w:val="21"/>
              </w:rPr>
            </w:pPr>
            <w:r>
              <w:rPr>
                <w:rFonts w:hint="eastAsia" w:ascii="宋体" w:hAnsi="宋体"/>
                <w:szCs w:val="21"/>
              </w:rPr>
              <w:t>场区布局（一级风险）</w:t>
            </w:r>
          </w:p>
          <w:p>
            <w:pPr>
              <w:spacing w:line="400" w:lineRule="exact"/>
              <w:rPr>
                <w:rFonts w:ascii="宋体" w:hAnsi="宋体"/>
                <w:szCs w:val="21"/>
              </w:rPr>
            </w:pPr>
            <w:r>
              <w:rPr>
                <w:rFonts w:hint="eastAsia" w:ascii="宋体" w:hAnsi="宋体"/>
                <w:szCs w:val="21"/>
              </w:rPr>
              <w:t>排污口及排污管网（一级风险）</w:t>
            </w:r>
          </w:p>
          <w:p>
            <w:pPr>
              <w:spacing w:line="400" w:lineRule="exact"/>
              <w:rPr>
                <w:rFonts w:ascii="宋体" w:hAnsi="宋体"/>
                <w:szCs w:val="21"/>
              </w:rPr>
            </w:pPr>
            <w:r>
              <w:rPr>
                <w:rFonts w:hint="eastAsia" w:ascii="宋体" w:hAnsi="宋体"/>
                <w:szCs w:val="21"/>
              </w:rPr>
              <w:t>关注动力装置场所、危险化学品仓库、固废堆放场所</w:t>
            </w:r>
          </w:p>
        </w:tc>
        <w:tc>
          <w:tcPr>
            <w:tcW w:w="9579" w:type="dxa"/>
          </w:tcPr>
          <w:p>
            <w:pPr>
              <w:spacing w:line="400" w:lineRule="exact"/>
              <w:rPr>
                <w:rFonts w:ascii="宋体" w:hAnsi="宋体"/>
                <w:color w:val="000000" w:themeColor="text1"/>
                <w:szCs w:val="21"/>
              </w:rPr>
            </w:pPr>
            <w:r>
              <w:rPr>
                <w:rFonts w:hint="eastAsia" w:ascii="宋体" w:hAnsi="宋体"/>
                <w:color w:val="000000" w:themeColor="text1"/>
                <w:szCs w:val="21"/>
              </w:rPr>
              <w:t>在</w:t>
            </w:r>
            <w:r>
              <w:rPr>
                <w:rFonts w:hint="eastAsia" w:ascii="宋体" w:hAnsi="宋体"/>
                <w:color w:val="000000" w:themeColor="text1"/>
                <w:szCs w:val="21"/>
                <w:lang w:eastAsia="zh-CN"/>
              </w:rPr>
              <w:t>工业</w:t>
            </w:r>
            <w:r>
              <w:rPr>
                <w:rFonts w:hint="eastAsia" w:ascii="宋体" w:hAnsi="宋体"/>
                <w:color w:val="000000" w:themeColor="text1"/>
                <w:szCs w:val="21"/>
                <w:lang w:val="en-US" w:eastAsia="zh-CN"/>
              </w:rPr>
              <w:t>园</w:t>
            </w:r>
            <w:r>
              <w:rPr>
                <w:rFonts w:hint="eastAsia" w:ascii="宋体" w:hAnsi="宋体"/>
                <w:color w:val="000000" w:themeColor="text1"/>
                <w:szCs w:val="21"/>
                <w:lang w:eastAsia="zh-CN"/>
              </w:rPr>
              <w:t>区</w:t>
            </w:r>
            <w:r>
              <w:rPr>
                <w:rFonts w:hint="eastAsia" w:ascii="宋体" w:hAnsi="宋体"/>
                <w:color w:val="000000" w:themeColor="text1"/>
                <w:szCs w:val="21"/>
              </w:rPr>
              <w:t>内</w:t>
            </w:r>
          </w:p>
          <w:p>
            <w:pPr>
              <w:spacing w:line="400" w:lineRule="exact"/>
              <w:rPr>
                <w:rFonts w:ascii="宋体" w:hAnsi="宋体"/>
                <w:szCs w:val="21"/>
              </w:rPr>
            </w:pPr>
          </w:p>
          <w:p>
            <w:pPr>
              <w:spacing w:line="400" w:lineRule="exact"/>
              <w:rPr>
                <w:rFonts w:ascii="宋体" w:hAnsi="宋体"/>
                <w:szCs w:val="21"/>
              </w:rPr>
            </w:pPr>
          </w:p>
        </w:tc>
        <w:tc>
          <w:tcPr>
            <w:tcW w:w="1003" w:type="dxa"/>
          </w:tcPr>
          <w:p>
            <w:pPr>
              <w:spacing w:line="440" w:lineRule="exact"/>
              <w:jc w:val="center"/>
              <w:rPr>
                <w:rFonts w:ascii="宋体" w:hAnsi="宋体"/>
                <w:szCs w:val="21"/>
              </w:rPr>
            </w:pPr>
          </w:p>
        </w:tc>
        <w:tc>
          <w:tcPr>
            <w:tcW w:w="851" w:type="dxa"/>
          </w:tcPr>
          <w:p>
            <w:pPr>
              <w:spacing w:line="440" w:lineRule="exact"/>
              <w:jc w:val="center"/>
              <w:rPr>
                <w:rFonts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701" w:type="dxa"/>
          </w:tcPr>
          <w:p>
            <w:pPr>
              <w:spacing w:line="400" w:lineRule="exact"/>
              <w:rPr>
                <w:rFonts w:ascii="宋体" w:hAnsi="宋体"/>
                <w:szCs w:val="21"/>
              </w:rPr>
            </w:pPr>
            <w:r>
              <w:rPr>
                <w:rFonts w:hint="eastAsia" w:ascii="宋体" w:hAnsi="宋体"/>
                <w:szCs w:val="21"/>
              </w:rPr>
              <w:t>顾客及相关方投诉</w:t>
            </w:r>
          </w:p>
        </w:tc>
        <w:tc>
          <w:tcPr>
            <w:tcW w:w="9579" w:type="dxa"/>
          </w:tcPr>
          <w:p>
            <w:pPr>
              <w:spacing w:line="400" w:lineRule="exact"/>
              <w:rPr>
                <w:rFonts w:ascii="宋体" w:hAnsi="宋体"/>
                <w:szCs w:val="21"/>
              </w:rPr>
            </w:pPr>
            <w:r>
              <w:rPr>
                <w:rFonts w:hint="eastAsia" w:ascii="宋体" w:hAnsi="宋体"/>
                <w:szCs w:val="21"/>
              </w:rPr>
              <w:t>暂无</w:t>
            </w:r>
          </w:p>
        </w:tc>
        <w:tc>
          <w:tcPr>
            <w:tcW w:w="1003" w:type="dxa"/>
          </w:tcPr>
          <w:p>
            <w:pPr>
              <w:spacing w:line="440" w:lineRule="exact"/>
              <w:jc w:val="center"/>
              <w:rPr>
                <w:rFonts w:ascii="宋体" w:hAnsi="宋体"/>
                <w:szCs w:val="21"/>
              </w:rPr>
            </w:pPr>
          </w:p>
        </w:tc>
        <w:tc>
          <w:tcPr>
            <w:tcW w:w="851" w:type="dxa"/>
          </w:tcPr>
          <w:p>
            <w:pPr>
              <w:spacing w:line="440" w:lineRule="exact"/>
              <w:jc w:val="center"/>
              <w:rPr>
                <w:rFonts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3701" w:type="dxa"/>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是否具备二阶段审核结论</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rPr>
              <w:t>第二阶段重要审核点等相关内容</w:t>
            </w:r>
          </w:p>
        </w:tc>
        <w:tc>
          <w:tcPr>
            <w:tcW w:w="9579" w:type="dxa"/>
            <w:vAlign w:val="top"/>
          </w:tcPr>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通过一阶段对受审核方的生产场所、办公场所巡视和观察，对管理体系绩效要求有重大影响的过程、活动、场所和现场运行进行观察、巡视及总体性评价，组织具备二阶段审核条件，可进行二阶段审核。</w:t>
            </w:r>
          </w:p>
          <w:p>
            <w:pPr>
              <w:adjustRightInd w:val="0"/>
              <w:snapToGrid w:val="0"/>
              <w:rPr>
                <w:rFonts w:hint="eastAsia" w:ascii="宋体" w:hAnsi="宋体" w:cs="Times New Roman"/>
                <w:color w:val="000000" w:themeColor="text1"/>
                <w:szCs w:val="21"/>
                <w:highlight w:val="none"/>
                <w:lang w:val="en-US" w:eastAsia="zh-CN"/>
              </w:rPr>
            </w:pPr>
            <w:r>
              <w:rPr>
                <w:rFonts w:hint="eastAsia" w:ascii="宋体" w:hAnsi="宋体" w:cs="Times New Roman"/>
                <w:color w:val="auto"/>
                <w:szCs w:val="21"/>
                <w:highlight w:val="none"/>
                <w:lang w:val="en-US" w:eastAsia="zh-CN"/>
              </w:rPr>
              <w:t>二阶段质量、环境、职业健康安全管理体系宜重点关注（生产制造质量控制、环境、职业健康安全保护等）</w:t>
            </w:r>
          </w:p>
          <w:p>
            <w:pPr>
              <w:adjustRightInd w:val="0"/>
              <w:snapToGrid w:val="0"/>
              <w:rPr>
                <w:rFonts w:hint="eastAsia" w:ascii="宋体" w:hAnsi="宋体" w:cs="Times New Roman"/>
                <w:color w:val="000000" w:themeColor="text1"/>
                <w:szCs w:val="21"/>
                <w:highlight w:val="none"/>
                <w:lang w:val="en-US" w:eastAsia="zh-CN"/>
              </w:rPr>
            </w:pPr>
            <w:r>
              <w:rPr>
                <w:rFonts w:hint="eastAsia" w:ascii="宋体" w:hAnsi="宋体" w:cs="Times New Roman"/>
                <w:color w:val="000000" w:themeColor="text1"/>
                <w:szCs w:val="21"/>
                <w:highlight w:val="none"/>
                <w:lang w:val="en-US" w:eastAsia="zh-CN"/>
              </w:rPr>
              <w:t>重点审核部门：综合部、生产部。</w:t>
            </w:r>
          </w:p>
          <w:p>
            <w:pPr>
              <w:adjustRightInd w:val="0"/>
              <w:snapToGrid w:val="0"/>
              <w:rPr>
                <w:rFonts w:hint="eastAsia" w:ascii="宋体" w:hAnsi="宋体" w:cs="Times New Roman"/>
                <w:color w:val="000000" w:themeColor="text1"/>
                <w:szCs w:val="21"/>
                <w:highlight w:val="none"/>
                <w:lang w:val="en-US" w:eastAsia="zh-CN"/>
              </w:rPr>
            </w:pPr>
            <w:r>
              <w:rPr>
                <w:rFonts w:hint="eastAsia" w:ascii="宋体" w:hAnsi="宋体" w:cs="Times New Roman"/>
                <w:color w:val="000000" w:themeColor="text1"/>
                <w:szCs w:val="21"/>
                <w:highlight w:val="none"/>
                <w:lang w:val="en-US" w:eastAsia="zh-CN"/>
              </w:rPr>
              <w:t>重点审核过程：生产和服务提供控制、顾客满意；产品和服务放行、不合格产品控制等。</w:t>
            </w:r>
          </w:p>
          <w:p>
            <w:pPr>
              <w:adjustRightInd w:val="0"/>
              <w:snapToGrid w:val="0"/>
              <w:rPr>
                <w:rFonts w:hint="eastAsia" w:ascii="宋体" w:hAnsi="宋体" w:eastAsia="宋体" w:cs="Times New Roman"/>
                <w:kern w:val="0"/>
                <w:sz w:val="21"/>
                <w:szCs w:val="21"/>
                <w:lang w:val="en-US" w:eastAsia="zh-CN" w:bidi="ar-SA"/>
              </w:rPr>
            </w:pPr>
            <w:r>
              <w:rPr>
                <w:rFonts w:hint="eastAsia" w:ascii="宋体" w:hAnsi="宋体" w:cs="Times New Roman"/>
                <w:color w:val="000000" w:themeColor="text1"/>
                <w:szCs w:val="21"/>
                <w:highlight w:val="none"/>
                <w:lang w:val="en-US" w:eastAsia="zh-CN"/>
              </w:rPr>
              <w:t>重点审核场所：办公场所、生产场所。</w:t>
            </w:r>
          </w:p>
        </w:tc>
        <w:tc>
          <w:tcPr>
            <w:tcW w:w="1003" w:type="dxa"/>
          </w:tcPr>
          <w:p>
            <w:pPr>
              <w:spacing w:line="440" w:lineRule="exact"/>
              <w:jc w:val="center"/>
              <w:rPr>
                <w:rFonts w:ascii="宋体" w:hAnsi="宋体"/>
                <w:szCs w:val="21"/>
              </w:rPr>
            </w:pPr>
          </w:p>
        </w:tc>
        <w:tc>
          <w:tcPr>
            <w:tcW w:w="851" w:type="dxa"/>
          </w:tcPr>
          <w:p>
            <w:pPr>
              <w:spacing w:line="440" w:lineRule="exact"/>
              <w:jc w:val="center"/>
              <w:rPr>
                <w:rFonts w:hint="eastAsia" w:ascii="宋体" w:hAnsi="宋体"/>
                <w:szCs w:val="21"/>
              </w:rPr>
            </w:pPr>
          </w:p>
        </w:tc>
      </w:tr>
    </w:tbl>
    <w:p>
      <w:r>
        <w:ptab w:relativeTo="margin" w:alignment="center" w:leader="none"/>
      </w:r>
    </w:p>
    <w:p>
      <w:pPr>
        <w:pStyle w:val="4"/>
      </w:pPr>
    </w:p>
    <w:p>
      <w:pPr>
        <w:pStyle w:val="4"/>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20F45E"/>
    <w:multiLevelType w:val="singleLevel"/>
    <w:tmpl w:val="E720F45E"/>
    <w:lvl w:ilvl="0" w:tentative="0">
      <w:start w:val="1"/>
      <w:numFmt w:val="decimal"/>
      <w:suff w:val="nothing"/>
      <w:lvlText w:val="%1）"/>
      <w:lvlJc w:val="left"/>
    </w:lvl>
  </w:abstractNum>
  <w:abstractNum w:abstractNumId="1">
    <w:nsid w:val="1AF27539"/>
    <w:multiLevelType w:val="singleLevel"/>
    <w:tmpl w:val="1AF2753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DE0448"/>
    <w:rsid w:val="04FA6647"/>
    <w:rsid w:val="0E373DAE"/>
    <w:rsid w:val="14C648A5"/>
    <w:rsid w:val="1899239D"/>
    <w:rsid w:val="1EC67E3D"/>
    <w:rsid w:val="220E66F3"/>
    <w:rsid w:val="25C71DD8"/>
    <w:rsid w:val="26DE3F41"/>
    <w:rsid w:val="27FB4B16"/>
    <w:rsid w:val="2D616F3B"/>
    <w:rsid w:val="338B1ACE"/>
    <w:rsid w:val="378C03CA"/>
    <w:rsid w:val="3CD8493E"/>
    <w:rsid w:val="3E9075C2"/>
    <w:rsid w:val="45DB7C23"/>
    <w:rsid w:val="465D6D79"/>
    <w:rsid w:val="4B00737B"/>
    <w:rsid w:val="4CD80353"/>
    <w:rsid w:val="5104758F"/>
    <w:rsid w:val="51A56667"/>
    <w:rsid w:val="52136845"/>
    <w:rsid w:val="55BA6FFA"/>
    <w:rsid w:val="5BBF26F8"/>
    <w:rsid w:val="6ADB3156"/>
    <w:rsid w:val="6B5B087A"/>
    <w:rsid w:val="6B851588"/>
    <w:rsid w:val="75E75897"/>
    <w:rsid w:val="78E358FD"/>
    <w:rsid w:val="7A5A04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占位符文本1"/>
    <w:semiHidden/>
    <w:qFormat/>
    <w:uiPriority w:val="99"/>
    <w:rPr>
      <w:color w:val="808080"/>
    </w:rPr>
  </w:style>
  <w:style w:type="paragraph" w:styleId="13">
    <w:name w:val="List Paragraph"/>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2021-03-18T06:49:23Z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