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01" w:rightChars="191"/>
        <w:jc w:val="right"/>
        <w:rPr>
          <w:rFonts w:hint="eastAsia"/>
          <w:szCs w:val="44"/>
          <w:u w:val="single"/>
        </w:rPr>
      </w:pPr>
      <w:r>
        <w:rPr>
          <w:rFonts w:hint="eastAsia" w:ascii="宋体" w:hAnsi="宋体"/>
          <w:sz w:val="18"/>
        </w:rPr>
        <w:t>编  号：</w:t>
      </w:r>
      <w:r>
        <w:rPr>
          <w:szCs w:val="44"/>
          <w:u w:val="single"/>
        </w:rPr>
        <w:t xml:space="preserve"> </w:t>
      </w:r>
      <w:bookmarkStart w:id="0" w:name="合同编号"/>
      <w:r>
        <w:rPr>
          <w:rFonts w:hint="eastAsia"/>
          <w:szCs w:val="44"/>
          <w:u w:val="single"/>
        </w:rPr>
        <w:t>0131-2021-Q</w:t>
      </w:r>
      <w:bookmarkEnd w:id="0"/>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重庆尚鸿玻璃制品有限公司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15.01.03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0"/>
        </w:numPr>
        <w:rPr>
          <w:rFonts w:ascii="宋体" w:hAnsi="宋体"/>
          <w:b/>
          <w:color w:val="000000" w:themeColor="text1"/>
          <w:sz w:val="26"/>
          <w:szCs w:val="26"/>
        </w:rPr>
      </w:pPr>
      <w:r>
        <w:rPr>
          <w:rFonts w:hint="eastAsia" w:ascii="宋体" w:hAnsi="宋体"/>
          <w:b/>
          <w:color w:val="000000" w:themeColor="text1"/>
          <w:sz w:val="26"/>
          <w:szCs w:val="26"/>
          <w:lang w:eastAsia="zh-CN"/>
        </w:rPr>
        <w:t>二、</w:t>
      </w: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eastAsia="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pacing w:val="-10"/>
          <w:sz w:val="20"/>
          <w:szCs w:val="20"/>
        </w:rPr>
      </w:pPr>
      <w:r>
        <w:rPr>
          <w:rFonts w:hint="eastAsia" w:ascii="宋体" w:hAnsi="宋体"/>
          <w:b/>
          <w:color w:val="000000" w:themeColor="text1"/>
          <w:sz w:val="26"/>
          <w:szCs w:val="26"/>
        </w:rPr>
        <w:t>审核准则</w:t>
      </w:r>
      <w:bookmarkStart w:id="5" w:name="审核依据"/>
      <w:r>
        <w:rPr>
          <w:rFonts w:hint="eastAsia" w:ascii="宋体" w:hAnsi="宋体"/>
          <w:b/>
          <w:color w:val="000000" w:themeColor="text1"/>
          <w:sz w:val="26"/>
          <w:szCs w:val="26"/>
          <w:lang w:eastAsia="zh-CN"/>
        </w:rPr>
        <w:t>：</w:t>
      </w:r>
      <w:r>
        <w:rPr>
          <w:rFonts w:hint="eastAsia" w:ascii="宋体" w:hAnsi="宋体"/>
          <w:b/>
          <w:color w:val="000000" w:themeColor="text1"/>
          <w:spacing w:val="-10"/>
          <w:sz w:val="20"/>
          <w:szCs w:val="20"/>
        </w:rPr>
        <w:t>GB/T19001-2016/ISO9001:2015</w:t>
      </w:r>
      <w:bookmarkEnd w:id="5"/>
    </w:p>
    <w:p>
      <w:pPr>
        <w:pStyle w:val="11"/>
        <w:numPr>
          <w:ilvl w:val="0"/>
          <w:numId w:val="1"/>
        </w:numPr>
        <w:ind w:left="-142" w:hanging="709" w:firstLineChars="0"/>
        <w:rPr>
          <w:rFonts w:ascii="宋体" w:hAnsi="宋体"/>
          <w:b/>
          <w:color w:val="000000" w:themeColor="text1"/>
          <w:spacing w:val="-10"/>
          <w:sz w:val="20"/>
          <w:szCs w:val="20"/>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重庆尚鸿玻璃制品有限公司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120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重庆市永川区三教镇云龙村箭滩村民小组3幢</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402195</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重庆市永川区花桥乡箭滩村2幢</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402195</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刘燕</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15902386678</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周继伟</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刘燕</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刘燕</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玻璃瓶的制造</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15.01.03</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2020-09-20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行政部</w:t>
            </w:r>
          </w:p>
        </w:tc>
        <w:tc>
          <w:tcPr>
            <w:tcW w:w="6804" w:type="dxa"/>
            <w:vAlign w:val="top"/>
          </w:tcPr>
          <w:p>
            <w:pPr>
              <w:jc w:val="left"/>
              <w:rPr>
                <w:rFonts w:hint="eastAsia"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生产部、技质部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cs="Times New Roman"/>
                <w:b/>
                <w:color w:val="000000" w:themeColor="text1"/>
                <w:sz w:val="20"/>
                <w:szCs w:val="20"/>
                <w:lang w:val="en-US" w:eastAsia="zh-CN"/>
              </w:rPr>
            </w:pPr>
            <w:r>
              <w:rPr>
                <w:rFonts w:hint="eastAsia" w:ascii="宋体" w:hAnsi="宋体" w:eastAsia="宋体" w:cs="Times New Roman"/>
                <w:b/>
                <w:color w:val="000000" w:themeColor="text1"/>
                <w:sz w:val="20"/>
                <w:szCs w:val="20"/>
                <w:lang w:val="en-US" w:eastAsia="zh-CN"/>
              </w:rPr>
              <w:t>供销部</w:t>
            </w:r>
          </w:p>
        </w:tc>
        <w:tc>
          <w:tcPr>
            <w:tcW w:w="6804" w:type="dxa"/>
          </w:tcPr>
          <w:p>
            <w:pPr>
              <w:jc w:val="both"/>
              <w:rPr>
                <w:rFonts w:hint="eastAsia" w:ascii="宋体" w:hAnsi="宋体" w:eastAsia="宋体" w:cs="Times New Roman"/>
                <w:b/>
                <w:color w:val="000000" w:themeColor="text1"/>
                <w:sz w:val="20"/>
                <w:szCs w:val="20"/>
                <w:lang w:val="en-US" w:eastAsia="zh-CN"/>
              </w:rPr>
            </w:pPr>
            <w:r>
              <w:rPr>
                <w:rFonts w:hint="eastAsia" w:ascii="宋体" w:hAnsi="宋体" w:eastAsia="宋体" w:cs="Times New Roman"/>
                <w:b/>
                <w:color w:val="000000" w:themeColor="text1"/>
                <w:sz w:val="20"/>
                <w:szCs w:val="20"/>
                <w:lang w:val="en-US" w:eastAsia="zh-CN"/>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9"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040"/>
        <w:gridCol w:w="7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96"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040"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750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b/>
                <w:color w:val="000000" w:themeColor="text1"/>
                <w:sz w:val="20"/>
                <w:szCs w:val="20"/>
              </w:rPr>
            </w:pPr>
            <w:r>
              <w:rPr>
                <w:rFonts w:hint="eastAsia" w:ascii="宋体" w:hAnsi="宋体"/>
                <w:szCs w:val="21"/>
              </w:rPr>
              <w:t>玻璃瓶的制造</w:t>
            </w:r>
          </w:p>
        </w:tc>
        <w:tc>
          <w:tcPr>
            <w:tcW w:w="1040" w:type="dxa"/>
          </w:tcPr>
          <w:p>
            <w:pPr>
              <w:rPr>
                <w:b/>
                <w:color w:val="000000" w:themeColor="text1"/>
                <w:sz w:val="20"/>
                <w:szCs w:val="20"/>
              </w:rPr>
            </w:pPr>
          </w:p>
        </w:tc>
        <w:tc>
          <w:tcPr>
            <w:tcW w:w="7503" w:type="dxa"/>
          </w:tcPr>
          <w:p>
            <w:pPr>
              <w:widowControl/>
              <w:spacing w:line="400" w:lineRule="exact"/>
              <w:rPr>
                <w:b/>
                <w:color w:val="000000" w:themeColor="text1"/>
                <w:sz w:val="20"/>
                <w:szCs w:val="20"/>
              </w:rPr>
            </w:pPr>
            <w:r>
              <w:rPr>
                <w:rFonts w:hint="eastAsia" w:ascii="宋体" w:hAnsi="宋体" w:eastAsia="宋体" w:cs="Times New Roman"/>
                <w:sz w:val="21"/>
                <w:szCs w:val="21"/>
                <w:lang w:eastAsia="zh-CN"/>
              </w:rPr>
              <w:t>GB/T24694 2009玻璃容器 白酒瓶、ISO 9058：2008玻璃容器 公差、</w:t>
            </w:r>
            <w:r>
              <w:rPr>
                <w:rFonts w:hint="eastAsia" w:ascii="宋体" w:hAnsi="宋体" w:eastAsia="宋体" w:cs="Times New Roman"/>
                <w:sz w:val="21"/>
                <w:szCs w:val="21"/>
                <w:lang w:val="en-GB" w:eastAsia="zh-CN"/>
              </w:rPr>
              <w:t>GB/T 20858-2007玻璃容器 用重量法测定容量试验方法 、ISO 8106：2004玻璃容器 用重量法测定容量 试验方法、GB/T6552-1986玻璃瓶罐抗机械冲击试验方法 、</w:t>
            </w:r>
            <w:r>
              <w:rPr>
                <w:rFonts w:hint="eastAsia" w:ascii="宋体" w:hAnsi="宋体" w:eastAsia="宋体" w:cs="Times New Roman"/>
                <w:sz w:val="21"/>
                <w:szCs w:val="21"/>
                <w:lang w:eastAsia="zh-CN"/>
              </w:rPr>
              <w:t>GB4545玻璃瓶罐内应力检验方法、GB/T4547玻璃容器抗热震性和热震耐久性实验方法、GB/T4548玻璃瓶表面耐水侵蚀性能试验方法、GB6552玻璃瓶罐抗冲击力试验方法等</w:t>
            </w:r>
            <w:r>
              <w:rPr>
                <w:rFonts w:hint="eastAsia" w:ascii="宋体" w:hAnsi="宋体" w:eastAsia="宋体" w:cs="宋体"/>
                <w:sz w:val="21"/>
                <w:szCs w:val="21"/>
              </w:rPr>
              <w:t>及技术要求</w:t>
            </w:r>
            <w:r>
              <w:rPr>
                <w:rFonts w:hint="eastAsia" w:ascii="宋体" w:hAnsi="宋体" w:eastAsia="宋体" w:cs="宋体"/>
                <w:sz w:val="21"/>
                <w:szCs w:val="21"/>
                <w:lang w:eastAsia="zh-CN"/>
              </w:rPr>
              <w:t>和客户要求</w:t>
            </w:r>
            <w:r>
              <w:rPr>
                <w:rFonts w:hint="eastAsia" w:ascii="宋体" w:hAnsi="宋体" w:eastAsia="宋体" w:cs="宋体"/>
                <w:sz w:val="21"/>
                <w:szCs w:val="21"/>
              </w:rPr>
              <w:t>等</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w:t>
      </w:r>
      <w:r>
        <w:rPr>
          <w:rFonts w:hint="eastAsia" w:ascii="Times New Roman" w:hAnsi="Times New Roman" w:eastAsia="宋体" w:cs="Times New Roman"/>
          <w:b/>
          <w:color w:val="000000" w:themeColor="text1"/>
          <w:spacing w:val="-10"/>
          <w:szCs w:val="21"/>
          <w:lang w:val="en-US" w:eastAsia="zh-CN"/>
        </w:rPr>
        <w:t>的20</w:t>
      </w:r>
      <w:r>
        <w:rPr>
          <w:rFonts w:hint="eastAsia" w:cs="Times New Roman"/>
          <w:b/>
          <w:color w:val="000000" w:themeColor="text1"/>
          <w:spacing w:val="-10"/>
          <w:szCs w:val="21"/>
          <w:lang w:val="en-US" w:eastAsia="zh-CN"/>
        </w:rPr>
        <w:t>20</w:t>
      </w:r>
      <w:r>
        <w:rPr>
          <w:rFonts w:hint="eastAsia" w:ascii="Times New Roman" w:hAnsi="Times New Roman" w:eastAsia="宋体" w:cs="Times New Roman"/>
          <w:b/>
          <w:color w:val="000000" w:themeColor="text1"/>
          <w:spacing w:val="-10"/>
          <w:szCs w:val="21"/>
          <w:lang w:val="en-US" w:eastAsia="zh-CN"/>
        </w:rPr>
        <w:t>年09月2</w:t>
      </w:r>
      <w:r>
        <w:rPr>
          <w:rFonts w:hint="eastAsia" w:cs="Times New Roman"/>
          <w:b/>
          <w:color w:val="000000" w:themeColor="text1"/>
          <w:spacing w:val="-10"/>
          <w:szCs w:val="21"/>
          <w:lang w:val="en-US" w:eastAsia="zh-CN"/>
        </w:rPr>
        <w:t>0</w:t>
      </w:r>
      <w:r>
        <w:rPr>
          <w:rFonts w:hint="eastAsia" w:ascii="Times New Roman" w:hAnsi="Times New Roman" w:eastAsia="宋体" w:cs="Times New Roman"/>
          <w:b/>
          <w:color w:val="000000" w:themeColor="text1"/>
          <w:spacing w:val="-10"/>
          <w:szCs w:val="21"/>
          <w:lang w:val="en-US" w:eastAsia="zh-CN"/>
        </w:rPr>
        <w:t>日至2021年</w:t>
      </w:r>
      <w:r>
        <w:rPr>
          <w:rFonts w:hint="eastAsia"/>
          <w:b/>
          <w:color w:val="000000" w:themeColor="text1"/>
          <w:spacing w:val="-10"/>
          <w:szCs w:val="21"/>
          <w:lang w:val="en-US" w:eastAsia="zh-CN"/>
        </w:rPr>
        <w:t>02</w:t>
      </w:r>
      <w:r>
        <w:rPr>
          <w:rFonts w:hint="eastAsia"/>
          <w:b/>
          <w:color w:val="000000" w:themeColor="text1"/>
          <w:spacing w:val="-10"/>
          <w:szCs w:val="21"/>
        </w:rPr>
        <w:t>月</w:t>
      </w:r>
      <w:r>
        <w:rPr>
          <w:rFonts w:hint="eastAsia"/>
          <w:b/>
          <w:color w:val="000000" w:themeColor="text1"/>
          <w:spacing w:val="-10"/>
          <w:szCs w:val="21"/>
          <w:lang w:val="en-US" w:eastAsia="zh-CN"/>
        </w:rPr>
        <w:t>27</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7" w:leftChars="-337" w:hanging="571" w:hangingChars="271"/>
        <w:rPr>
          <w:b/>
          <w:color w:val="000000" w:themeColor="text1"/>
          <w:spacing w:val="-10"/>
          <w:szCs w:val="21"/>
        </w:rPr>
      </w:pPr>
      <w:r>
        <w:rPr>
          <w:rFonts w:hint="eastAsia" w:ascii="宋体" w:hAnsi="宋体"/>
          <w:b/>
          <w:color w:val="000000" w:themeColor="text1"/>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组织对内外部因素、相关方需求和期望进行了充分的识别，策划和实施有效。组织确定了体系的边界，基本适用。管理体系不适用条款</w:t>
            </w:r>
            <w:r>
              <w:rPr>
                <w:rFonts w:hint="eastAsia" w:ascii="宋体" w:hAnsi="宋体"/>
                <w:color w:val="000000" w:themeColor="text1"/>
                <w:lang w:eastAsia="zh-CN"/>
              </w:rPr>
              <w:t>：</w:t>
            </w:r>
            <w:r>
              <w:rPr>
                <w:rFonts w:hint="eastAsia" w:ascii="宋体" w:hAnsi="宋体"/>
                <w:color w:val="000000" w:themeColor="text1"/>
                <w:lang w:val="en-US" w:eastAsia="zh-CN"/>
              </w:rPr>
              <w:t>8.3</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360" w:lineRule="auto"/>
              <w:rPr>
                <w:rFonts w:hint="eastAsia" w:ascii="宋体" w:hAnsi="宋体"/>
                <w:b/>
                <w:color w:val="000000" w:themeColor="text1"/>
                <w:sz w:val="20"/>
                <w:szCs w:val="20"/>
              </w:rPr>
            </w:pPr>
            <w:r>
              <w:rPr>
                <w:rFonts w:hint="eastAsia"/>
                <w:b/>
                <w:color w:val="000000" w:themeColor="text1"/>
                <w:sz w:val="20"/>
                <w:szCs w:val="20"/>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numPr>
                <w:ilvl w:val="0"/>
                <w:numId w:val="0"/>
              </w:numPr>
              <w:spacing w:line="360" w:lineRule="auto"/>
              <w:ind w:firstLine="420" w:firstLineChars="200"/>
              <w:rPr>
                <w:b/>
                <w:color w:val="000000" w:themeColor="text1"/>
              </w:rPr>
            </w:pPr>
            <w:r>
              <w:rPr>
                <w:rFonts w:hint="eastAsia" w:ascii="宋体" w:hAnsi="宋体" w:eastAsia="宋体" w:cs="宋体"/>
                <w:color w:val="000000"/>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sz w:val="21"/>
                <w:szCs w:val="21"/>
              </w:rPr>
              <w:t>质量为本、信誉至上，持续改进，争创一流，满足要求</w:t>
            </w:r>
            <w:r>
              <w:rPr>
                <w:rFonts w:hint="eastAsia" w:ascii="宋体" w:hAnsi="宋体" w:eastAsia="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widowControl/>
              <w:spacing w:line="400" w:lineRule="exact"/>
              <w:rPr>
                <w:rFonts w:hint="eastAsia" w:ascii="宋体" w:hAnsi="宋体"/>
                <w:b/>
                <w:color w:val="000000" w:themeColor="text1"/>
                <w:sz w:val="20"/>
                <w:szCs w:val="20"/>
              </w:rPr>
            </w:pPr>
            <w:r>
              <w:rPr>
                <w:rFonts w:hint="eastAsia" w:ascii="宋体" w:hAnsi="宋体"/>
                <w:b/>
                <w:color w:val="000000" w:themeColor="text1"/>
                <w:sz w:val="20"/>
                <w:szCs w:val="20"/>
              </w:rPr>
              <w:t>质量管理体系过程有：</w:t>
            </w:r>
          </w:p>
          <w:p>
            <w:pPr>
              <w:widowControl/>
              <w:spacing w:line="400" w:lineRule="exact"/>
              <w:rPr>
                <w:rFonts w:hint="eastAsia" w:ascii="宋体" w:hAnsi="宋体" w:eastAsia="宋体" w:cs="Times New Roman"/>
                <w:color w:val="000000" w:themeColor="text1"/>
                <w:sz w:val="21"/>
                <w:szCs w:val="21"/>
                <w:lang w:val="en-GB" w:eastAsia="zh-CN"/>
              </w:rPr>
            </w:pPr>
            <w:r>
              <w:rPr>
                <w:rFonts w:hint="eastAsia" w:ascii="宋体" w:hAnsi="宋体" w:eastAsia="宋体" w:cs="Times New Roman"/>
                <w:color w:val="000000" w:themeColor="text1"/>
                <w:sz w:val="21"/>
                <w:szCs w:val="21"/>
                <w:lang w:val="en-GB" w:eastAsia="zh-CN"/>
              </w:rPr>
              <w:t>玻璃瓶白瓶制造工艺：</w:t>
            </w:r>
          </w:p>
          <w:p>
            <w:pPr>
              <w:widowControl/>
              <w:spacing w:line="400" w:lineRule="exact"/>
              <w:rPr>
                <w:rFonts w:hint="eastAsia" w:ascii="宋体" w:hAnsi="宋体" w:eastAsia="宋体" w:cs="Times New Roman"/>
                <w:color w:val="000000" w:themeColor="text1"/>
                <w:sz w:val="21"/>
                <w:szCs w:val="21"/>
                <w:lang w:val="en-GB" w:eastAsia="zh-CN"/>
              </w:rPr>
            </w:pPr>
            <w:r>
              <w:rPr>
                <w:rFonts w:hint="eastAsia" w:ascii="宋体" w:hAnsi="宋体" w:eastAsia="宋体" w:cs="Times New Roman"/>
                <w:color w:val="000000" w:themeColor="text1"/>
                <w:sz w:val="21"/>
                <w:szCs w:val="21"/>
                <w:lang w:val="en-GB" w:eastAsia="zh-CN"/>
              </w:rPr>
              <w:t>配料——熔制——成形（吹制、拉制、压制）——退火——检验——入库</w:t>
            </w:r>
          </w:p>
          <w:p>
            <w:pPr>
              <w:widowControl/>
              <w:spacing w:line="400" w:lineRule="exact"/>
              <w:rPr>
                <w:rFonts w:hint="eastAsia" w:ascii="宋体" w:hAnsi="宋体" w:eastAsia="宋体" w:cs="Times New Roman"/>
                <w:bCs/>
                <w:spacing w:val="10"/>
                <w:kern w:val="2"/>
                <w:sz w:val="21"/>
                <w:szCs w:val="22"/>
                <w:lang w:val="en-US" w:eastAsia="zh-CN" w:bidi="ar-SA"/>
              </w:rPr>
            </w:pPr>
            <w:r>
              <w:rPr>
                <w:rFonts w:hint="eastAsia" w:ascii="宋体" w:hAnsi="宋体" w:eastAsia="宋体" w:cs="Times New Roman"/>
                <w:color w:val="000000" w:themeColor="text1"/>
                <w:sz w:val="21"/>
                <w:szCs w:val="21"/>
                <w:highlight w:val="none"/>
                <w:lang w:val="en-GB" w:eastAsia="zh-CN"/>
              </w:rPr>
              <w:t>需确认/特殊过程：熔制、退火</w:t>
            </w:r>
            <w:r>
              <w:rPr>
                <w:rFonts w:hint="eastAsia" w:ascii="宋体" w:hAnsi="宋体" w:cs="Times New Roman"/>
                <w:color w:val="000000" w:themeColor="text1"/>
                <w:sz w:val="21"/>
                <w:szCs w:val="21"/>
                <w:highlight w:val="none"/>
                <w:lang w:val="en-US" w:eastAsia="zh-CN"/>
              </w:rPr>
              <w:t xml:space="preserve">  关键过程：成形工序</w:t>
            </w:r>
          </w:p>
          <w:p>
            <w:pPr>
              <w:spacing w:line="360" w:lineRule="auto"/>
              <w:rPr>
                <w:rFonts w:ascii="宋体" w:hAnsi="宋体"/>
                <w:b/>
                <w:color w:val="000000" w:themeColor="text1"/>
                <w:szCs w:val="21"/>
              </w:rPr>
            </w:pPr>
            <w:r>
              <w:rPr>
                <w:rFonts w:hint="eastAsia" w:ascii="宋体" w:hAnsi="宋体"/>
                <w:b/>
                <w:sz w:val="20"/>
                <w:szCs w:val="20"/>
              </w:rPr>
              <w:t>不适用条款：</w:t>
            </w:r>
            <w:r>
              <w:rPr>
                <w:rFonts w:hint="eastAsia" w:ascii="宋体" w:hAnsi="宋体" w:eastAsia="宋体" w:cs="Times New Roman"/>
                <w:sz w:val="21"/>
                <w:szCs w:val="21"/>
                <w:lang w:val="en-US" w:eastAsia="zh-CN"/>
              </w:rPr>
              <w:t>8.3</w:t>
            </w:r>
            <w:r>
              <w:rPr>
                <w:rFonts w:hint="eastAsia" w:ascii="宋体" w:hAnsi="宋体" w:eastAsia="宋体" w:cs="Times New Roman"/>
                <w:sz w:val="21"/>
                <w:szCs w:val="21"/>
                <w:lang w:val="en-GB" w:eastAsia="zh-CN"/>
              </w:rPr>
              <w:t xml:space="preserve"> ：组织的产品均是按照国家、行业标准和客户提供的图纸进行生产，生产工艺成熟固定，整个生产过程不涉及设计开发，故8.3条款不适用。对该条款的不适用不影响组织提供满足顾客和适用法律法规要求的产品的能力或责任的要求</w:t>
            </w:r>
            <w:r>
              <w:rPr>
                <w:rFonts w:hint="eastAsia" w:ascii="宋体" w:hAnsi="宋体" w:cs="Times New Roman"/>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val="0"/>
                <w:bCs/>
                <w:color w:val="000000" w:themeColor="text1"/>
                <w:szCs w:val="21"/>
              </w:rPr>
              <w:t>培训、会议、张贴。</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质量目标：</w:t>
            </w:r>
          </w:p>
          <w:p>
            <w:pPr>
              <w:widowControl/>
              <w:spacing w:line="400" w:lineRule="exact"/>
              <w:rPr>
                <w:rFonts w:hint="eastAsia" w:ascii="宋体" w:hAnsi="宋体" w:eastAsia="宋体" w:cs="Times New Roman"/>
                <w:sz w:val="21"/>
                <w:szCs w:val="21"/>
                <w:lang w:val="en-GB" w:eastAsia="zh-CN"/>
              </w:rPr>
            </w:pPr>
            <w:r>
              <w:rPr>
                <w:rFonts w:hint="eastAsia" w:ascii="宋体" w:hAnsi="宋体" w:eastAsia="宋体" w:cs="Times New Roman"/>
                <w:sz w:val="21"/>
                <w:szCs w:val="21"/>
                <w:lang w:val="en-GB" w:eastAsia="zh-CN"/>
              </w:rPr>
              <w:t>a、产品交付合格率100%；</w:t>
            </w:r>
          </w:p>
          <w:p>
            <w:pPr>
              <w:widowControl/>
              <w:spacing w:line="400" w:lineRule="exact"/>
              <w:rPr>
                <w:rFonts w:hint="eastAsia" w:ascii="宋体" w:hAnsi="宋体" w:eastAsia="宋体" w:cs="Times New Roman"/>
                <w:sz w:val="21"/>
                <w:szCs w:val="21"/>
                <w:lang w:val="en-GB" w:eastAsia="zh-CN"/>
              </w:rPr>
            </w:pPr>
            <w:r>
              <w:rPr>
                <w:rFonts w:hint="eastAsia" w:ascii="宋体" w:hAnsi="宋体" w:eastAsia="宋体" w:cs="Times New Roman"/>
                <w:sz w:val="21"/>
                <w:szCs w:val="21"/>
                <w:lang w:val="en-GB" w:eastAsia="zh-CN"/>
              </w:rPr>
              <w:t>b、交货期满意率90%</w:t>
            </w:r>
          </w:p>
          <w:p>
            <w:pPr>
              <w:spacing w:line="300" w:lineRule="exact"/>
              <w:rPr>
                <w:rFonts w:ascii="宋体" w:hAnsi="宋体"/>
                <w:b/>
                <w:color w:val="000000" w:themeColor="text1"/>
              </w:rPr>
            </w:pPr>
            <w:r>
              <w:rPr>
                <w:rFonts w:hint="eastAsia" w:ascii="宋体" w:hAnsi="宋体" w:eastAsia="宋体" w:cs="Times New Roman"/>
                <w:sz w:val="21"/>
                <w:szCs w:val="21"/>
                <w:lang w:val="en-GB" w:eastAsia="zh-CN"/>
              </w:rPr>
              <w:t>c、顾客满意率95%以上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9</w:t>
            </w:r>
            <w:r>
              <w:rPr>
                <w:rFonts w:hint="eastAsia" w:ascii="宋体" w:hAnsi="宋体" w:cs="宋体"/>
                <w:color w:val="000000" w:themeColor="text1"/>
              </w:rPr>
              <w:t>月</w:t>
            </w:r>
            <w:r>
              <w:rPr>
                <w:rFonts w:hint="eastAsia" w:ascii="宋体" w:hAnsi="宋体" w:cs="宋体"/>
                <w:color w:val="000000" w:themeColor="text1"/>
                <w:lang w:val="en-US" w:eastAsia="zh-CN"/>
              </w:rPr>
              <w:t>20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组织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auto"/>
                <w:sz w:val="20"/>
                <w:szCs w:val="20"/>
              </w:rPr>
            </w:pPr>
            <w:r>
              <w:rPr>
                <w:rFonts w:hint="eastAsia" w:ascii="宋体" w:hAnsi="宋体"/>
                <w:b/>
                <w:color w:val="auto"/>
                <w:sz w:val="20"/>
                <w:szCs w:val="20"/>
              </w:rPr>
              <w:t>人力资源的简要说明</w:t>
            </w:r>
            <w:r>
              <w:rPr>
                <w:rFonts w:hint="eastAsia"/>
                <w:b/>
                <w:color w:val="auto"/>
                <w:sz w:val="20"/>
                <w:szCs w:val="20"/>
              </w:rPr>
              <w:t>.</w:t>
            </w:r>
            <w:r>
              <w:rPr>
                <w:rFonts w:hint="eastAsia" w:ascii="宋体" w:hAnsi="宋体"/>
                <w:b/>
                <w:color w:val="auto"/>
                <w:sz w:val="20"/>
                <w:szCs w:val="20"/>
              </w:rPr>
              <w:t>:</w:t>
            </w:r>
          </w:p>
          <w:p>
            <w:pPr>
              <w:tabs>
                <w:tab w:val="left" w:pos="2552"/>
              </w:tabs>
              <w:spacing w:line="0" w:lineRule="atLeast"/>
              <w:ind w:firstLine="420" w:firstLineChars="200"/>
              <w:rPr>
                <w:rFonts w:ascii="宋体" w:hAnsi="宋体"/>
                <w:bCs/>
                <w:iCs/>
                <w:color w:val="auto"/>
                <w:szCs w:val="22"/>
              </w:rPr>
            </w:pPr>
            <w:r>
              <w:rPr>
                <w:rFonts w:hint="eastAsia" w:ascii="宋体" w:hAnsi="宋体"/>
                <w:bCs/>
                <w:iCs/>
                <w:color w:val="auto"/>
              </w:rPr>
              <w:t>组</w:t>
            </w:r>
            <w:r>
              <w:rPr>
                <w:rFonts w:hint="eastAsia" w:ascii="宋体" w:hAnsi="宋体"/>
                <w:bCs/>
                <w:iCs/>
                <w:color w:val="auto"/>
                <w:szCs w:val="22"/>
              </w:rPr>
              <w:t>织按管理体系需求配置了充足的人员、设施、监视和测量设备等资源，并建立维持了</w:t>
            </w:r>
            <w:r>
              <w:rPr>
                <w:rFonts w:hint="eastAsia" w:ascii="宋体" w:hAnsi="宋体"/>
                <w:color w:val="auto"/>
                <w:szCs w:val="21"/>
              </w:rPr>
              <w:t>产品的生产</w:t>
            </w:r>
            <w:r>
              <w:rPr>
                <w:rFonts w:hint="eastAsia" w:ascii="宋体" w:hAnsi="宋体"/>
                <w:bCs/>
                <w:iCs/>
                <w:color w:val="auto"/>
                <w:szCs w:val="22"/>
              </w:rPr>
              <w:t>及相关服务运行环境，可以维持管理体系的正常运行。</w:t>
            </w:r>
          </w:p>
          <w:p>
            <w:pPr>
              <w:spacing w:line="300" w:lineRule="exact"/>
              <w:rPr>
                <w:rFonts w:ascii="宋体" w:hAnsi="宋体"/>
                <w:b/>
                <w:color w:val="auto"/>
                <w:sz w:val="20"/>
                <w:szCs w:val="20"/>
              </w:rPr>
            </w:pPr>
            <w:r>
              <w:rPr>
                <w:rFonts w:hint="eastAsia" w:ascii="宋体" w:hAnsi="宋体"/>
                <w:bCs/>
                <w:iCs/>
                <w:color w:val="auto"/>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auto"/>
                <w:sz w:val="20"/>
                <w:szCs w:val="20"/>
              </w:rPr>
            </w:pPr>
            <w:r>
              <w:rPr>
                <w:rFonts w:hint="eastAsia" w:ascii="宋体" w:hAnsi="宋体"/>
                <w:b/>
                <w:color w:val="auto"/>
                <w:sz w:val="20"/>
                <w:szCs w:val="20"/>
              </w:rPr>
              <w:t>设备设施（包括信息系统）、</w:t>
            </w:r>
          </w:p>
          <w:p>
            <w:pPr>
              <w:spacing w:line="400" w:lineRule="exact"/>
              <w:rPr>
                <w:rFonts w:ascii="宋体" w:hAnsi="宋体"/>
                <w:b/>
                <w:color w:val="auto"/>
                <w:sz w:val="20"/>
                <w:szCs w:val="20"/>
              </w:rPr>
            </w:pPr>
            <w:r>
              <w:rPr>
                <w:rFonts w:hint="eastAsia" w:ascii="宋体" w:hAnsi="宋体"/>
                <w:color w:val="auto"/>
                <w:szCs w:val="21"/>
              </w:rPr>
              <w:t>组织</w:t>
            </w:r>
            <w:r>
              <w:rPr>
                <w:rFonts w:hint="eastAsia" w:ascii="宋体" w:hAnsi="宋体"/>
                <w:color w:val="auto"/>
                <w:szCs w:val="21"/>
                <w:lang w:eastAsia="zh-CN"/>
              </w:rPr>
              <w:t>在园区内有标准生产</w:t>
            </w:r>
            <w:r>
              <w:rPr>
                <w:rFonts w:hint="eastAsia" w:ascii="宋体" w:hAnsi="宋体"/>
                <w:color w:val="auto"/>
                <w:szCs w:val="21"/>
              </w:rPr>
              <w:t>厂房及办公场地.</w:t>
            </w:r>
            <w:r>
              <w:rPr>
                <w:rFonts w:hint="eastAsia"/>
                <w:szCs w:val="22"/>
                <w:lang w:eastAsia="zh-CN"/>
              </w:rPr>
              <w:t>主要设备为</w:t>
            </w:r>
            <w:r>
              <w:rPr>
                <w:rFonts w:hint="eastAsia"/>
                <w:szCs w:val="22"/>
                <w:lang w:val="en-US" w:eastAsia="zh-CN"/>
              </w:rPr>
              <w:t>电脑、办公设备</w:t>
            </w:r>
            <w:r>
              <w:rPr>
                <w:rFonts w:hint="eastAsia"/>
                <w:color w:val="000000" w:themeColor="text1"/>
                <w:szCs w:val="22"/>
                <w:lang w:val="en-US" w:eastAsia="zh-CN"/>
              </w:rPr>
              <w:t>、</w:t>
            </w:r>
            <w:r>
              <w:rPr>
                <w:rFonts w:hint="eastAsia" w:ascii="宋体" w:hAnsi="宋体" w:cs="宋体"/>
                <w:color w:val="000000" w:themeColor="text1"/>
                <w:sz w:val="21"/>
                <w:szCs w:val="21"/>
              </w:rPr>
              <w:t>玻璃窑炉</w:t>
            </w:r>
            <w:r>
              <w:rPr>
                <w:rFonts w:hint="eastAsia" w:ascii="宋体" w:hAnsi="宋体" w:cs="宋体"/>
                <w:color w:val="000000" w:themeColor="text1"/>
                <w:sz w:val="21"/>
                <w:szCs w:val="21"/>
                <w:lang w:eastAsia="zh-CN"/>
              </w:rPr>
              <w:t>、</w:t>
            </w:r>
            <w:r>
              <w:rPr>
                <w:rFonts w:hint="eastAsia" w:ascii="宋体" w:hAnsi="宋体" w:cs="宋体"/>
                <w:color w:val="000000" w:themeColor="text1"/>
                <w:sz w:val="21"/>
                <w:szCs w:val="21"/>
              </w:rPr>
              <w:t>全自动数控制瓶机、退火炉、全自动气压压杯机、全自动制瓶机</w:t>
            </w:r>
            <w:r>
              <w:rPr>
                <w:rFonts w:hint="eastAsia"/>
                <w:color w:val="000000" w:themeColor="text1"/>
                <w:szCs w:val="22"/>
                <w:lang w:val="en-US" w:eastAsia="zh-CN"/>
              </w:rPr>
              <w:t>等</w:t>
            </w:r>
            <w:r>
              <w:rPr>
                <w:rFonts w:hint="eastAsia"/>
                <w:color w:val="000000" w:themeColor="text1"/>
                <w:sz w:val="21"/>
                <w:szCs w:val="21"/>
                <w:lang w:val="en-US" w:eastAsia="zh-CN"/>
              </w:rPr>
              <w:t>。</w:t>
            </w:r>
            <w:r>
              <w:rPr>
                <w:rFonts w:hint="eastAsia" w:ascii="宋体" w:hAnsi="宋体"/>
                <w:color w:val="000000" w:themeColor="text1"/>
                <w:szCs w:val="21"/>
                <w:lang w:val="en-US" w:eastAsia="zh-CN"/>
              </w:rPr>
              <w:t>可以满足</w:t>
            </w:r>
            <w:r>
              <w:rPr>
                <w:rFonts w:hint="eastAsia" w:ascii="宋体" w:hAnsi="宋体"/>
                <w:color w:val="000000" w:themeColor="text1"/>
                <w:szCs w:val="21"/>
              </w:rPr>
              <w:t>玻璃瓶的制造</w:t>
            </w:r>
            <w:r>
              <w:rPr>
                <w:rFonts w:hint="eastAsia" w:ascii="宋体" w:hAnsi="宋体"/>
                <w:color w:val="000000" w:themeColor="text1"/>
                <w:szCs w:val="21"/>
                <w:lang w:val="en-US" w:eastAsia="zh-CN"/>
              </w:rPr>
              <w:t>需要</w:t>
            </w:r>
            <w:r>
              <w:rPr>
                <w:rFonts w:hint="eastAsia" w:ascii="宋体" w:hAnsi="宋体"/>
                <w:color w:val="000000" w:themeColor="text1"/>
                <w:szCs w:val="21"/>
              </w:rPr>
              <w:t>。对设备按月方式进行点检维护保养，并实施。特种设备：</w:t>
            </w:r>
            <w:r>
              <w:rPr>
                <w:rFonts w:hint="eastAsia" w:ascii="宋体" w:hAnsi="宋体"/>
                <w:color w:val="000000" w:themeColor="text1"/>
                <w:szCs w:val="21"/>
                <w:lang w:val="en-US" w:eastAsia="zh-CN"/>
              </w:rPr>
              <w:t>与重庆荣福玻璃销售有限公司共用叉车一台，叉车年检报告到期，已于2021年2月25日向重庆市特种设备检测研究院递交年检检验申请。</w:t>
            </w:r>
            <w:r>
              <w:rPr>
                <w:rFonts w:hint="eastAsia" w:ascii="宋体" w:hAnsi="宋体"/>
                <w:color w:val="auto"/>
                <w:szCs w:val="21"/>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auto"/>
                <w:sz w:val="20"/>
                <w:szCs w:val="20"/>
              </w:rPr>
            </w:pPr>
            <w:r>
              <w:rPr>
                <w:rFonts w:hint="eastAsia" w:ascii="宋体" w:hAnsi="宋体"/>
                <w:b/>
                <w:color w:val="auto"/>
                <w:sz w:val="20"/>
                <w:szCs w:val="20"/>
              </w:rPr>
              <w:t>过程运行环境</w:t>
            </w:r>
          </w:p>
          <w:p>
            <w:pPr>
              <w:spacing w:line="240" w:lineRule="exact"/>
              <w:ind w:firstLine="420" w:firstLineChars="200"/>
              <w:rPr>
                <w:rFonts w:ascii="宋体" w:hAnsi="宋体"/>
                <w:b/>
                <w:color w:val="auto"/>
                <w:sz w:val="20"/>
                <w:szCs w:val="20"/>
              </w:rPr>
            </w:pPr>
            <w:r>
              <w:rPr>
                <w:rFonts w:hint="eastAsia" w:ascii="宋体" w:hAnsi="宋体" w:cs="宋体"/>
                <w:color w:val="auto"/>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cs="宋体"/>
                <w:color w:val="auto"/>
                <w:szCs w:val="21"/>
              </w:rPr>
            </w:pPr>
            <w:r>
              <w:rPr>
                <w:rFonts w:hint="eastAsia" w:ascii="宋体" w:hAnsi="宋体"/>
                <w:b/>
                <w:color w:val="auto"/>
                <w:sz w:val="20"/>
                <w:szCs w:val="20"/>
              </w:rPr>
              <w:t>监视和测量资源</w:t>
            </w:r>
          </w:p>
          <w:p>
            <w:pPr>
              <w:spacing w:line="240" w:lineRule="exact"/>
              <w:ind w:firstLine="420" w:firstLineChars="200"/>
              <w:rPr>
                <w:rFonts w:hint="eastAsia" w:ascii="宋体" w:hAnsi="宋体" w:eastAsia="宋体"/>
                <w:b/>
                <w:color w:val="auto"/>
                <w:sz w:val="20"/>
                <w:szCs w:val="20"/>
                <w:lang w:eastAsia="zh-CN"/>
              </w:rPr>
            </w:pPr>
            <w:r>
              <w:rPr>
                <w:rFonts w:hint="eastAsia" w:ascii="宋体" w:hAnsi="宋体" w:cs="宋体"/>
                <w:color w:val="auto"/>
                <w:szCs w:val="21"/>
              </w:rPr>
              <w:t>生产车间及检验部门均按策划的要求配置了相应的检测设备，</w:t>
            </w:r>
            <w:r>
              <w:rPr>
                <w:rFonts w:hint="eastAsia" w:ascii="宋体" w:hAnsi="宋体" w:cs="宋体"/>
                <w:color w:val="auto"/>
                <w:szCs w:val="21"/>
                <w:lang w:val="en-US" w:eastAsia="zh-CN"/>
              </w:rPr>
              <w:t>主要检测设备为游标卡尺、深度卡尺、电子秤、超声波测厚仪、应力仪等</w:t>
            </w:r>
            <w:r>
              <w:rPr>
                <w:rFonts w:hint="eastAsia" w:ascii="宋体" w:hAnsi="宋体" w:cs="宋体"/>
                <w:color w:val="auto"/>
                <w:szCs w:val="21"/>
              </w:rPr>
              <w:t>，均采用委外送检的方式。</w:t>
            </w:r>
            <w:r>
              <w:rPr>
                <w:rFonts w:hint="eastAsia" w:ascii="宋体" w:hAnsi="宋体" w:cs="宋体"/>
                <w:color w:val="auto"/>
                <w:szCs w:val="21"/>
                <w:lang w:val="en-US" w:eastAsia="zh-CN"/>
              </w:rPr>
              <w:t>抽查以上在用检测设备的检定或校准证书,不能提供应力仪的校准证书，其它检具均能提供有效的校验报告，具体证书内容见附件。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知识</w:t>
            </w:r>
          </w:p>
          <w:p>
            <w:pPr>
              <w:spacing w:line="400" w:lineRule="exact"/>
              <w:ind w:firstLine="315" w:firstLineChars="150"/>
              <w:rPr>
                <w:rFonts w:ascii="宋体" w:hAnsi="宋体" w:cs="宋体"/>
                <w:szCs w:val="21"/>
              </w:rPr>
            </w:pPr>
            <w:r>
              <w:rPr>
                <w:rFonts w:hint="eastAsia" w:ascii="宋体" w:hAnsi="宋体" w:cs="宋体"/>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0"/>
                <w:szCs w:val="20"/>
              </w:rPr>
            </w:pPr>
            <w:r>
              <w:rPr>
                <w:rFonts w:hint="eastAsia" w:ascii="宋体" w:hAnsi="宋体" w:cs="宋体"/>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auto"/>
                <w:sz w:val="20"/>
                <w:szCs w:val="20"/>
              </w:rPr>
            </w:pPr>
            <w:r>
              <w:rPr>
                <w:rFonts w:hint="eastAsia" w:ascii="宋体" w:hAnsi="宋体"/>
                <w:b/>
                <w:color w:val="auto"/>
                <w:sz w:val="20"/>
                <w:szCs w:val="20"/>
              </w:rPr>
              <w:t>环保设施：</w:t>
            </w:r>
          </w:p>
          <w:p>
            <w:pPr>
              <w:spacing w:line="240" w:lineRule="exact"/>
              <w:rPr>
                <w:rFonts w:hint="default" w:ascii="宋体" w:hAnsi="宋体" w:eastAsia="宋体"/>
                <w:color w:val="auto"/>
                <w:sz w:val="20"/>
                <w:szCs w:val="20"/>
                <w:lang w:val="en-US" w:eastAsia="zh-CN"/>
              </w:rPr>
            </w:pPr>
            <w:r>
              <w:rPr>
                <w:rFonts w:hint="eastAsia" w:ascii="宋体" w:hAnsi="宋体"/>
                <w:color w:val="auto"/>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auto"/>
                <w:sz w:val="20"/>
                <w:szCs w:val="20"/>
              </w:rPr>
            </w:pPr>
            <w:r>
              <w:rPr>
                <w:rFonts w:hint="eastAsia" w:ascii="宋体" w:hAnsi="宋体"/>
                <w:b/>
                <w:color w:val="auto"/>
                <w:sz w:val="20"/>
                <w:szCs w:val="20"/>
              </w:rPr>
              <w:t>职业健康安全设施：</w:t>
            </w:r>
          </w:p>
          <w:p>
            <w:pPr>
              <w:spacing w:line="240" w:lineRule="exact"/>
              <w:rPr>
                <w:rFonts w:hint="eastAsia" w:ascii="宋体" w:hAnsi="宋体" w:eastAsia="宋体"/>
                <w:color w:val="auto"/>
                <w:sz w:val="20"/>
                <w:szCs w:val="20"/>
                <w:lang w:val="en-US" w:eastAsia="zh-CN"/>
              </w:rPr>
            </w:pPr>
            <w:r>
              <w:rPr>
                <w:rFonts w:hint="eastAsia" w:ascii="宋体" w:hAnsi="宋体"/>
                <w:color w:val="auto"/>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widowControl/>
              <w:spacing w:line="40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w:t>
            </w:r>
            <w:r>
              <w:rPr>
                <w:rFonts w:hint="eastAsia" w:ascii="宋体" w:hAnsi="宋体" w:cs="宋体"/>
                <w:color w:val="auto"/>
                <w:szCs w:val="21"/>
              </w:rPr>
              <w:t>客满意度调查），相关绩效表明：组织基本能有效控制管理其生产及服务过程，从审</w:t>
            </w:r>
            <w:r>
              <w:rPr>
                <w:rFonts w:hint="eastAsia" w:ascii="宋体" w:hAnsi="宋体" w:cs="宋体"/>
                <w:color w:val="000000" w:themeColor="text1"/>
                <w:szCs w:val="21"/>
              </w:rPr>
              <w:t>核过程看，公司的产品质量管理基本受控。QMS</w:t>
            </w:r>
            <w:r>
              <w:rPr>
                <w:rFonts w:hint="eastAsia" w:ascii="宋体" w:hAnsi="宋体" w:eastAsia="宋体" w:cs="Times New Roman"/>
                <w:color w:val="000000" w:themeColor="text1"/>
                <w:sz w:val="21"/>
                <w:szCs w:val="21"/>
                <w:lang w:val="en-GB" w:eastAsia="zh-CN"/>
              </w:rPr>
              <w:t>需确认/特殊过程：熔制、退火</w:t>
            </w:r>
            <w:r>
              <w:rPr>
                <w:rFonts w:hint="eastAsia" w:ascii="宋体" w:hAnsi="宋体" w:cs="Times New Roman"/>
                <w:color w:val="000000" w:themeColor="text1"/>
                <w:sz w:val="21"/>
                <w:szCs w:val="21"/>
                <w:lang w:val="en-US" w:eastAsia="zh-CN"/>
              </w:rPr>
              <w:t xml:space="preserve">  关键过程：成形工序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ind w:firstLine="420" w:firstLineChars="200"/>
              <w:jc w:val="left"/>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300" w:lineRule="exact"/>
              <w:jc w:val="left"/>
              <w:rPr>
                <w:b/>
                <w:color w:val="000000" w:themeColor="text1"/>
                <w:sz w:val="20"/>
                <w:szCs w:val="20"/>
              </w:rPr>
            </w:pPr>
            <w:r>
              <w:rPr>
                <w:rFonts w:hint="eastAsia" w:ascii="宋体" w:hAnsi="宋体" w:cs="宋体"/>
                <w:color w:val="000000"/>
                <w:szCs w:val="21"/>
              </w:rPr>
              <w:t>(应说明相关证据)：验收规范、验收记录等。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 xml:space="preserve">5 </w:t>
            </w:r>
            <w:r>
              <w:rPr>
                <w:rFonts w:hint="eastAsia"/>
                <w:b/>
                <w:sz w:val="20"/>
                <w:szCs w:val="20"/>
              </w:rPr>
              <w:t>.QMS国家/地方技术监督部门监测（检测、委托检测、定期监测、型式试验等）、抽查结果</w:t>
            </w:r>
          </w:p>
          <w:p>
            <w:pPr>
              <w:spacing w:line="240" w:lineRule="exact"/>
              <w:ind w:firstLine="402" w:firstLineChars="200"/>
              <w:rPr>
                <w:rFonts w:hint="eastAsia"/>
                <w:b/>
                <w:color w:val="000000" w:themeColor="text1"/>
                <w:sz w:val="20"/>
                <w:szCs w:val="20"/>
                <w:lang w:val="en-US" w:eastAsia="zh-CN"/>
              </w:rPr>
            </w:pPr>
            <w:r>
              <w:rPr>
                <w:rFonts w:hint="eastAsia"/>
                <w:b/>
                <w:color w:val="000000" w:themeColor="text1"/>
                <w:sz w:val="20"/>
                <w:szCs w:val="20"/>
                <w:lang w:val="en-US" w:eastAsia="zh-CN"/>
              </w:rPr>
              <w:t>提供有委外检测报告</w:t>
            </w:r>
          </w:p>
          <w:p>
            <w:pPr>
              <w:spacing w:line="240" w:lineRule="exact"/>
              <w:ind w:firstLine="402" w:firstLineChars="200"/>
              <w:rPr>
                <w:rFonts w:hint="default" w:eastAsia="宋体"/>
                <w:b/>
                <w:color w:val="000000" w:themeColor="text1"/>
                <w:sz w:val="20"/>
                <w:szCs w:val="20"/>
                <w:lang w:val="en-US" w:eastAsia="zh-CN"/>
              </w:rPr>
            </w:pPr>
            <w:r>
              <w:rPr>
                <w:rFonts w:hint="eastAsia"/>
                <w:b/>
                <w:color w:val="000000" w:themeColor="text1"/>
                <w:sz w:val="20"/>
                <w:szCs w:val="20"/>
              </w:rPr>
              <w:t>（附相关证据）：</w:t>
            </w:r>
            <w:r>
              <w:rPr>
                <w:rFonts w:hint="eastAsia"/>
                <w:b/>
                <w:color w:val="000000" w:themeColor="text1"/>
                <w:sz w:val="20"/>
                <w:szCs w:val="20"/>
                <w:lang w:val="en-US" w:eastAsia="zh-CN"/>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lang w:eastAsia="zh-CN"/>
              </w:rPr>
              <w:t>现场</w:t>
            </w:r>
            <w:r>
              <w:rPr>
                <w:rFonts w:hint="eastAsia" w:ascii="宋体" w:hAnsi="宋体" w:cs="宋体"/>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auto"/>
                <w:sz w:val="20"/>
                <w:szCs w:val="20"/>
              </w:rPr>
            </w:pPr>
            <w:r>
              <w:rPr>
                <w:rFonts w:hint="eastAsia"/>
                <w:b/>
                <w:color w:val="000000" w:themeColor="text1"/>
                <w:sz w:val="20"/>
                <w:szCs w:val="20"/>
              </w:rPr>
              <w:t>10. 对特种设备的维</w:t>
            </w:r>
            <w:r>
              <w:rPr>
                <w:rFonts w:hint="eastAsia"/>
                <w:b/>
                <w:color w:val="auto"/>
                <w:sz w:val="20"/>
                <w:szCs w:val="20"/>
              </w:rPr>
              <w:t>护; （适用时）</w:t>
            </w:r>
          </w:p>
          <w:p>
            <w:pPr>
              <w:ind w:left="210" w:leftChars="100" w:firstLine="105" w:firstLineChars="50"/>
              <w:jc w:val="left"/>
              <w:rPr>
                <w:b/>
                <w:sz w:val="20"/>
                <w:szCs w:val="20"/>
              </w:rPr>
            </w:pPr>
            <w:r>
              <w:rPr>
                <w:rFonts w:hint="eastAsia" w:ascii="宋体" w:hAnsi="宋体" w:cs="宋体"/>
                <w:color w:val="000000" w:themeColor="text1"/>
                <w:szCs w:val="21"/>
              </w:rPr>
              <w:t>特种设备：</w:t>
            </w:r>
            <w:r>
              <w:rPr>
                <w:rFonts w:hint="eastAsia" w:ascii="宋体" w:hAnsi="宋体"/>
                <w:color w:val="000000" w:themeColor="text1"/>
                <w:szCs w:val="21"/>
                <w:lang w:val="en-US" w:eastAsia="zh-CN"/>
              </w:rPr>
              <w:t>与重庆荣福玻璃销售有限公司共用叉车一台，叉车年检报告到期，已于2021年2月25日向重庆市特种设备检测研究院递交年检检验申请。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w:t>
            </w:r>
            <w:r>
              <w:rPr>
                <w:rFonts w:hint="eastAsia" w:ascii="宋体" w:hAnsi="宋体" w:cs="宋体"/>
                <w:color w:val="auto"/>
                <w:szCs w:val="21"/>
              </w:rPr>
              <w:t>评价，通过数据的汇总统计、描述性统计等方法对目标进行了测量，总体已达到或超过</w:t>
            </w:r>
            <w:r>
              <w:rPr>
                <w:rFonts w:hint="eastAsia" w:ascii="宋体" w:hAnsi="宋体" w:cs="宋体"/>
                <w:color w:val="000000" w:themeColor="text1"/>
                <w:szCs w:val="21"/>
              </w:rPr>
              <w:t>了规定的目标值。通过20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10</w:t>
            </w:r>
            <w:r>
              <w:rPr>
                <w:rFonts w:hint="eastAsia" w:ascii="宋体" w:hAnsi="宋体" w:cs="宋体"/>
                <w:color w:val="000000" w:themeColor="text1"/>
                <w:szCs w:val="21"/>
              </w:rPr>
              <w:t>-202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w:t>
            </w:r>
            <w:r>
              <w:rPr>
                <w:rFonts w:hint="eastAsia" w:ascii="宋体" w:hAnsi="宋体" w:cs="宋体"/>
                <w:color w:val="000000" w:themeColor="text1"/>
                <w:szCs w:val="21"/>
              </w:rPr>
              <w:t>馈信息的利用上不够，需要改善。近年来未发生重大顾客投诉和产品质量事故。顾客满意度调查按规定实施，2020年</w:t>
            </w:r>
            <w:r>
              <w:rPr>
                <w:rFonts w:hint="eastAsia" w:ascii="宋体" w:hAnsi="宋体" w:cs="宋体"/>
                <w:color w:val="000000" w:themeColor="text1"/>
                <w:szCs w:val="21"/>
                <w:lang w:val="en-US" w:eastAsia="zh-CN"/>
              </w:rPr>
              <w:t>12</w:t>
            </w:r>
            <w:r>
              <w:rPr>
                <w:rFonts w:hint="eastAsia" w:ascii="宋体" w:hAnsi="宋体" w:cs="宋体"/>
                <w:color w:val="000000" w:themeColor="text1"/>
                <w:szCs w:val="21"/>
              </w:rPr>
              <w:t>月实施，满意度评价9</w:t>
            </w:r>
            <w:r>
              <w:rPr>
                <w:rFonts w:hint="eastAsia" w:ascii="宋体" w:hAnsi="宋体" w:cs="宋体"/>
                <w:color w:val="000000" w:themeColor="text1"/>
                <w:szCs w:val="21"/>
                <w:lang w:val="en-US" w:eastAsia="zh-CN"/>
              </w:rPr>
              <w:t>6</w:t>
            </w:r>
            <w:r>
              <w:rPr>
                <w:rFonts w:hint="eastAsia" w:ascii="宋体" w:hAnsi="宋体" w:cs="宋体"/>
                <w:color w:val="000000" w:themeColor="text1"/>
                <w:szCs w:val="21"/>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ind w:firstLine="420" w:firstLineChars="200"/>
              <w:rPr>
                <w:b/>
                <w:color w:val="FF0000"/>
                <w:sz w:val="20"/>
                <w:szCs w:val="20"/>
              </w:rPr>
            </w:pPr>
            <w:r>
              <w:rPr>
                <w:rFonts w:hint="eastAsia" w:ascii="宋体" w:hAnsi="宋体" w:cs="宋体"/>
                <w:szCs w:val="21"/>
              </w:rPr>
              <w:t>建立有《内部审核控制程序》，规定了内审频次一年一次，内审时间：</w:t>
            </w:r>
            <w:r>
              <w:rPr>
                <w:rFonts w:hint="eastAsia"/>
                <w:szCs w:val="21"/>
              </w:rPr>
              <w:t>2020年</w:t>
            </w:r>
            <w:r>
              <w:rPr>
                <w:rFonts w:hint="eastAsia"/>
                <w:szCs w:val="21"/>
                <w:lang w:val="en-US" w:eastAsia="zh-CN"/>
              </w:rPr>
              <w:t>12</w:t>
            </w:r>
            <w:r>
              <w:rPr>
                <w:rFonts w:hint="eastAsia"/>
                <w:szCs w:val="21"/>
              </w:rPr>
              <w:t>月</w:t>
            </w:r>
            <w:r>
              <w:rPr>
                <w:rFonts w:hint="eastAsia"/>
                <w:szCs w:val="21"/>
                <w:lang w:val="en-US" w:eastAsia="zh-CN"/>
              </w:rPr>
              <w:t>10</w:t>
            </w:r>
            <w:r>
              <w:rPr>
                <w:rFonts w:hint="eastAsia"/>
                <w:szCs w:val="21"/>
              </w:rPr>
              <w:t xml:space="preserve">日   </w:t>
            </w:r>
            <w:r>
              <w:rPr>
                <w:rFonts w:hint="eastAsia" w:ascii="宋体" w:hAnsi="宋体" w:cs="宋体"/>
                <w:szCs w:val="21"/>
              </w:rPr>
              <w:t>，拟定了审核实施表，明确了内审范围，内审人员经培训合格上岗，能力满足要求，未出现审核本部门情况，内审不符合项1项，</w:t>
            </w:r>
            <w:r>
              <w:rPr>
                <w:rFonts w:hint="eastAsia"/>
                <w:sz w:val="21"/>
                <w:szCs w:val="21"/>
                <w:highlight w:val="none"/>
              </w:rPr>
              <w:t>涉及</w:t>
            </w:r>
            <w:r>
              <w:rPr>
                <w:rFonts w:hint="eastAsia"/>
                <w:sz w:val="21"/>
                <w:szCs w:val="21"/>
                <w:highlight w:val="none"/>
                <w:lang w:eastAsia="zh-CN"/>
              </w:rPr>
              <w:t>行政</w:t>
            </w:r>
            <w:r>
              <w:rPr>
                <w:rFonts w:hint="eastAsia"/>
                <w:sz w:val="21"/>
                <w:szCs w:val="21"/>
                <w:highlight w:val="none"/>
              </w:rPr>
              <w:t>部</w:t>
            </w:r>
            <w:r>
              <w:rPr>
                <w:rFonts w:hint="eastAsia"/>
                <w:sz w:val="21"/>
                <w:szCs w:val="21"/>
                <w:highlight w:val="none"/>
                <w:lang w:val="en-US" w:eastAsia="zh-CN"/>
              </w:rPr>
              <w:t>7.5.3条款。</w:t>
            </w:r>
            <w:r>
              <w:rPr>
                <w:rFonts w:hint="eastAsia"/>
                <w:sz w:val="21"/>
                <w:szCs w:val="21"/>
                <w:highlight w:val="none"/>
              </w:rPr>
              <w:t>对</w:t>
            </w:r>
            <w:r>
              <w:rPr>
                <w:rFonts w:hint="eastAsia"/>
                <w:sz w:val="21"/>
                <w:szCs w:val="21"/>
                <w:highlight w:val="none"/>
                <w:lang w:eastAsia="zh-CN"/>
              </w:rPr>
              <w:t>不符合事实描述为“</w:t>
            </w:r>
            <w:r>
              <w:rPr>
                <w:rFonts w:hint="eastAsia"/>
                <w:sz w:val="21"/>
                <w:szCs w:val="21"/>
                <w:highlight w:val="none"/>
                <w:lang w:val="zh-CN" w:eastAsia="zh-CN"/>
              </w:rPr>
              <w:t>抽查“记录一览表”，明确了记录名称/记录编号/版本，未明确保存部门/保存期限</w:t>
            </w:r>
            <w:r>
              <w:rPr>
                <w:rFonts w:hint="eastAsia"/>
                <w:sz w:val="21"/>
                <w:szCs w:val="21"/>
                <w:highlight w:val="none"/>
                <w:lang w:eastAsia="zh-CN"/>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kern w:val="0"/>
                <w:sz w:val="21"/>
                <w:szCs w:val="21"/>
              </w:rPr>
              <w:t>2020年</w:t>
            </w:r>
            <w:r>
              <w:rPr>
                <w:rFonts w:hint="eastAsia" w:ascii="宋体" w:hAnsi="宋体"/>
                <w:kern w:val="0"/>
                <w:sz w:val="21"/>
                <w:szCs w:val="21"/>
                <w:lang w:val="en-US" w:eastAsia="zh-CN"/>
              </w:rPr>
              <w:t>12</w:t>
            </w:r>
            <w:r>
              <w:rPr>
                <w:rFonts w:hint="eastAsia" w:ascii="宋体" w:hAnsi="宋体"/>
                <w:kern w:val="0"/>
                <w:sz w:val="21"/>
                <w:szCs w:val="21"/>
              </w:rPr>
              <w:t>月</w:t>
            </w:r>
            <w:r>
              <w:rPr>
                <w:rFonts w:hint="eastAsia" w:ascii="宋体" w:hAnsi="宋体"/>
                <w:kern w:val="0"/>
                <w:sz w:val="21"/>
                <w:szCs w:val="21"/>
                <w:lang w:val="en-US" w:eastAsia="zh-CN"/>
              </w:rPr>
              <w:t>30</w:t>
            </w:r>
            <w:r>
              <w:rPr>
                <w:rFonts w:hint="eastAsia" w:ascii="宋体" w:hAnsi="宋体"/>
                <w:kern w:val="0"/>
                <w:sz w:val="21"/>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highlight w:val="none"/>
              </w:rPr>
            </w:pPr>
            <w:r>
              <w:rPr>
                <w:rFonts w:hint="eastAsia"/>
                <w:b/>
                <w:color w:val="000000" w:themeColor="text1"/>
                <w:spacing w:val="-20"/>
                <w:sz w:val="20"/>
                <w:szCs w:val="20"/>
                <w:highlight w:val="none"/>
              </w:rPr>
              <w:t>3. 一阶段提出问题的整改情况?</w:t>
            </w:r>
          </w:p>
          <w:p>
            <w:pPr>
              <w:spacing w:line="240" w:lineRule="exact"/>
              <w:rPr>
                <w:rFonts w:hint="eastAsia" w:eastAsia="宋体"/>
                <w:b/>
                <w:color w:val="000000" w:themeColor="text1"/>
                <w:spacing w:val="-20"/>
                <w:sz w:val="20"/>
                <w:szCs w:val="20"/>
                <w:highlight w:val="none"/>
                <w:lang w:val="en-US" w:eastAsia="zh-CN"/>
              </w:rPr>
            </w:pPr>
            <w:r>
              <w:rPr>
                <w:rFonts w:hint="eastAsia" w:ascii="宋体" w:hAnsi="宋体" w:cs="宋体"/>
                <w:color w:val="000000" w:themeColor="text1"/>
                <w:sz w:val="21"/>
                <w:szCs w:val="21"/>
                <w:highlight w:val="none"/>
                <w:lang w:val="en-US" w:eastAsia="zh-CN"/>
              </w:rPr>
              <w:t>一阶段提出的应力仪不能提供有效的校准报告，二阶段现场验证未整改完毕。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w:t>
      </w:r>
      <w:r>
        <w:rPr>
          <w:rFonts w:hint="eastAsia"/>
          <w:b/>
          <w:color w:val="auto"/>
          <w:sz w:val="26"/>
          <w:szCs w:val="26"/>
        </w:rPr>
        <w:t>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项分布在</w:t>
      </w:r>
      <w:r>
        <w:rPr>
          <w:rFonts w:hint="eastAsia" w:ascii="方正仿宋简体" w:hAnsi="Times New Roman" w:eastAsia="方正仿宋简体" w:cs="Times New Roman"/>
          <w:b/>
          <w:color w:val="000000" w:themeColor="text1"/>
          <w:lang w:val="en-US" w:eastAsia="zh-CN"/>
        </w:rPr>
        <w:t>技质部</w:t>
      </w:r>
      <w:r>
        <w:rPr>
          <w:rFonts w:hint="eastAsia"/>
          <w:b/>
          <w:color w:val="000000" w:themeColor="text1"/>
        </w:rPr>
        <w:t>部门</w:t>
      </w:r>
      <w:r>
        <w:rPr>
          <w:rFonts w:hint="eastAsia"/>
          <w:b/>
          <w:color w:val="000000" w:themeColor="text1"/>
          <w:lang w:val="en-US" w:eastAsia="zh-CN"/>
        </w:rPr>
        <w:t>7.1.5.2</w:t>
      </w:r>
      <w:r>
        <w:rPr>
          <w:rFonts w:hint="eastAsia"/>
          <w:b/>
          <w:color w:val="000000" w:themeColor="text1"/>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37" w:leftChars="-337" w:hanging="571" w:hangingChars="271"/>
        <w:rPr>
          <w:rFonts w:hint="eastAsia" w:ascii="宋体" w:hAnsi="宋体" w:eastAsia="宋体"/>
          <w:b/>
          <w:color w:val="000000" w:themeColor="text1"/>
          <w:szCs w:val="21"/>
          <w:lang w:val="en-US" w:eastAsia="zh-CN"/>
        </w:rPr>
      </w:pPr>
      <w:r>
        <w:rPr>
          <w:rFonts w:hint="eastAsia" w:ascii="宋体" w:hAnsi="宋体"/>
          <w:b/>
          <w:color w:val="000000" w:themeColor="text1"/>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37" w:leftChars="-337" w:hanging="571" w:hangingChars="271"/>
        <w:rPr>
          <w:rFonts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 w:val="22"/>
                <w:szCs w:val="22"/>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szCs w:val="21"/>
              </w:rPr>
              <w:t>玻璃瓶的制造</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3"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4"/>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20</w:t>
      </w:r>
      <w:r>
        <w:rPr>
          <w:rFonts w:hint="eastAsia"/>
          <w:b/>
          <w:color w:val="000000" w:themeColor="text1"/>
        </w:rPr>
        <w:t>天/严重不符合在</w:t>
      </w:r>
      <w:r>
        <w:rPr>
          <w:rFonts w:hint="eastAsia"/>
          <w:b/>
          <w:color w:val="000000" w:themeColor="text1"/>
          <w:lang w:val="en-US" w:eastAsia="zh-CN"/>
        </w:rPr>
        <w:t>60</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drawing>
          <wp:anchor distT="0" distB="0" distL="114300" distR="114300" simplePos="0" relativeHeight="251785216" behindDoc="0" locked="0" layoutInCell="1" allowOverlap="1">
            <wp:simplePos x="0" y="0"/>
            <wp:positionH relativeFrom="column">
              <wp:posOffset>1644015</wp:posOffset>
            </wp:positionH>
            <wp:positionV relativeFrom="paragraph">
              <wp:posOffset>295275</wp:posOffset>
            </wp:positionV>
            <wp:extent cx="371475" cy="341630"/>
            <wp:effectExtent l="0" t="0" r="9525" b="889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6"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52" w:firstLineChars="250"/>
        <w:rPr>
          <w:b/>
          <w:color w:val="000000" w:themeColor="text1"/>
        </w:rPr>
      </w:pPr>
      <w:r>
        <w:rPr>
          <w:rFonts w:hint="eastAsia"/>
          <w:b/>
          <w:sz w:val="22"/>
          <w:szCs w:val="22"/>
        </w:rPr>
        <w:drawing>
          <wp:anchor distT="0" distB="0" distL="114300" distR="114300" simplePos="0" relativeHeight="251703296" behindDoc="0" locked="0" layoutInCell="1" allowOverlap="1">
            <wp:simplePos x="0" y="0"/>
            <wp:positionH relativeFrom="column">
              <wp:posOffset>2308860</wp:posOffset>
            </wp:positionH>
            <wp:positionV relativeFrom="paragraph">
              <wp:posOffset>132715</wp:posOffset>
            </wp:positionV>
            <wp:extent cx="422910" cy="320040"/>
            <wp:effectExtent l="0" t="0" r="3810" b="0"/>
            <wp:wrapNone/>
            <wp:docPr id="3"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C:\Users\Administrator\Desktop\签名.jpg"/>
                    <pic:cNvPicPr>
                      <a:picLocks noChangeAspect="1"/>
                    </pic:cNvPicPr>
                  </pic:nvPicPr>
                  <pic:blipFill>
                    <a:blip r:embed="rId7"/>
                    <a:stretch>
                      <a:fillRect/>
                    </a:stretch>
                  </pic:blipFill>
                  <pic:spPr>
                    <a:xfrm>
                      <a:off x="0" y="0"/>
                      <a:ext cx="422910" cy="320040"/>
                    </a:xfrm>
                    <a:prstGeom prst="rect">
                      <a:avLst/>
                    </a:prstGeom>
                    <a:noFill/>
                    <a:ln>
                      <a:noFill/>
                    </a:ln>
                  </pic:spPr>
                </pic:pic>
              </a:graphicData>
            </a:graphic>
          </wp:anchor>
        </w:drawing>
      </w:r>
      <w:r>
        <w:rPr>
          <w:sz w:val="24"/>
        </w:rPr>
        <w:drawing>
          <wp:anchor distT="0" distB="0" distL="114300" distR="114300" simplePos="0" relativeHeight="251702272" behindDoc="0" locked="0" layoutInCell="1" allowOverlap="1">
            <wp:simplePos x="0" y="0"/>
            <wp:positionH relativeFrom="column">
              <wp:posOffset>1568450</wp:posOffset>
            </wp:positionH>
            <wp:positionV relativeFrom="paragraph">
              <wp:posOffset>121920</wp:posOffset>
            </wp:positionV>
            <wp:extent cx="590550" cy="426720"/>
            <wp:effectExtent l="0" t="0" r="3810" b="0"/>
            <wp:wrapNone/>
            <wp:docPr id="4"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24309\AppData\Local\Temp\WeChat Files\5990baca09647c352f1321b31faa90a.jpg"/>
                    <pic:cNvPicPr>
                      <a:picLocks noChangeAspect="1"/>
                    </pic:cNvPicPr>
                  </pic:nvPicPr>
                  <pic:blipFill>
                    <a:blip r:embed="rId8"/>
                    <a:stretch>
                      <a:fillRect/>
                    </a:stretch>
                  </pic:blipFill>
                  <pic:spPr>
                    <a:xfrm>
                      <a:off x="0" y="0"/>
                      <a:ext cx="590550" cy="426720"/>
                    </a:xfrm>
                    <a:prstGeom prst="rect">
                      <a:avLst/>
                    </a:prstGeom>
                    <a:noFill/>
                    <a:ln>
                      <a:noFill/>
                    </a:ln>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 xml:space="preserve">   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03</w:t>
      </w:r>
      <w:r>
        <w:rPr>
          <w:rFonts w:hint="eastAsia" w:asciiTheme="minorEastAsia" w:hAnsiTheme="minorEastAsia" w:eastAsiaTheme="minorEastAsia"/>
          <w:b/>
          <w:color w:val="000000" w:themeColor="text1"/>
        </w:rPr>
        <w:t xml:space="preserve"> 月</w:t>
      </w:r>
      <w:r>
        <w:rPr>
          <w:rFonts w:hint="eastAsia" w:asciiTheme="minorEastAsia" w:hAnsiTheme="minorEastAsia" w:eastAsiaTheme="minorEastAsia"/>
          <w:b/>
          <w:color w:val="000000" w:themeColor="text1"/>
          <w:lang w:val="en-US" w:eastAsia="zh-CN"/>
        </w:rPr>
        <w:t>15</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bCs/>
          <w:color w:val="000000" w:themeColor="text1"/>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843" w:firstLineChars="400"/>
        <w:rPr>
          <w:b/>
          <w:color w:val="000000" w:themeColor="text1"/>
          <w:szCs w:val="21"/>
        </w:rPr>
      </w:pPr>
      <w:r>
        <w:rPr>
          <w:rFonts w:hint="eastAsia"/>
          <w:b/>
          <w:color w:val="000000" w:themeColor="text1"/>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drawing>
          <wp:anchor distT="0" distB="0" distL="114300" distR="114300" simplePos="0" relativeHeight="251822080" behindDoc="0" locked="0" layoutInCell="1" allowOverlap="1">
            <wp:simplePos x="0" y="0"/>
            <wp:positionH relativeFrom="column">
              <wp:posOffset>746760</wp:posOffset>
            </wp:positionH>
            <wp:positionV relativeFrom="paragraph">
              <wp:posOffset>180975</wp:posOffset>
            </wp:positionV>
            <wp:extent cx="371475" cy="341630"/>
            <wp:effectExtent l="0" t="0" r="9525" b="8890"/>
            <wp:wrapNone/>
            <wp:docPr id="6"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24309\Desktop\文平1.jpg"/>
                    <pic:cNvPicPr>
                      <a:picLocks noChangeAspect="1" noChangeArrowheads="1"/>
                    </pic:cNvPicPr>
                  </pic:nvPicPr>
                  <pic:blipFill>
                    <a:blip r:embed="rId6"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 xml:space="preserve">3 </w:t>
      </w:r>
      <w:r>
        <w:rPr>
          <w:rFonts w:hint="eastAsia"/>
          <w:b/>
          <w:color w:val="000000" w:themeColor="text1"/>
          <w:szCs w:val="21"/>
        </w:rPr>
        <w:t>月</w:t>
      </w:r>
      <w:r>
        <w:rPr>
          <w:rFonts w:hint="eastAsia"/>
          <w:b/>
          <w:color w:val="000000" w:themeColor="text1"/>
          <w:szCs w:val="21"/>
          <w:lang w:val="en-US" w:eastAsia="zh-CN"/>
        </w:rPr>
        <w:t>17</w:t>
      </w:r>
      <w:bookmarkStart w:id="22" w:name="_GoBack"/>
      <w:bookmarkEnd w:id="22"/>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7BEB0F"/>
    <w:multiLevelType w:val="singleLevel"/>
    <w:tmpl w:val="8F7BEB0F"/>
    <w:lvl w:ilvl="0" w:tentative="0">
      <w:start w:val="3"/>
      <w:numFmt w:val="decimal"/>
      <w:lvlText w:val="%1."/>
      <w:lvlJc w:val="left"/>
      <w:pPr>
        <w:tabs>
          <w:tab w:val="left" w:pos="312"/>
        </w:tabs>
      </w:p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F7C56DA"/>
    <w:rsid w:val="1FD81C36"/>
    <w:rsid w:val="342A310C"/>
    <w:rsid w:val="55E570AB"/>
    <w:rsid w:val="59913CEB"/>
    <w:rsid w:val="68AA3E4B"/>
    <w:rsid w:val="6BE60668"/>
    <w:rsid w:val="724D6923"/>
    <w:rsid w:val="76C121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1</TotalTime>
  <ScaleCrop>false</ScaleCrop>
  <LinksUpToDate>false</LinksUpToDate>
  <CharactersWithSpaces>5057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小冉</cp:lastModifiedBy>
  <cp:lastPrinted>2019-05-13T03:19:00Z</cp:lastPrinted>
  <dcterms:modified xsi:type="dcterms:W3CDTF">2021-03-15T13:38:18Z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