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138"/>
        <w:gridCol w:w="1657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重庆尚鸿玻璃制品有限公司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15.01.03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审核范围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玻璃瓶的制造</w:t>
            </w:r>
            <w:bookmarkEnd w:id="5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bookmarkStart w:id="6" w:name="_GoBack"/>
            <w:bookmarkEnd w:id="6"/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  <w:t>玻璃瓶白瓶制造工艺：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  <w:t>配料——熔制——成形（吹制、拉制、压制）——退火——检验——入库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highlight w:val="none"/>
                <w:lang w:val="en-GB" w:eastAsia="zh-CN"/>
              </w:rPr>
              <w:t>需确认/特殊过程：熔制、退火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 xml:space="preserve">  关键过程：成形工序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生产过程的风险：规格尺寸、外观、应力质量达不到技术要求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关键控制点：成型、烘烤参数控制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审核关注：材料监控和工艺参数以及检验过程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生产过程按作业指导书、图纸、相关标准进行控制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对特殊过程从人员能力、文件、设备、过程记录、执行标准等方面进行了过程确认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GB/T24694 2009玻璃容器 白酒瓶、ISO 9058：2008玻璃容器 公差、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GB" w:eastAsia="zh-CN"/>
              </w:rPr>
              <w:t>GB/T 20858-2007玻璃容器 用重量法测定容量试验方法 、ISO 8106：2004玻璃容器 用重量法测定容量 试验方法、GB/T6552-1986玻璃瓶罐抗机械冲击试验方法 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GB4545玻璃瓶罐内应力检验方法、GB/T4547玻璃容器抗热震性和热震耐久性实验方法、GB/T4548玻璃瓶表面耐水侵蚀性能试验方法、GB6552玻璃瓶罐抗冲击力试验方法等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检验项目：外观、规格尺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寸、应力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0"/>
              </w:rPr>
              <w:t>型式试验要求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无型式试验要求，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提供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有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三方委外检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测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67945</wp:posOffset>
            </wp:positionV>
            <wp:extent cx="371475" cy="341630"/>
            <wp:effectExtent l="0" t="0" r="9525" b="8890"/>
            <wp:wrapNone/>
            <wp:docPr id="3" name="图片 3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21590</wp:posOffset>
            </wp:positionV>
            <wp:extent cx="371475" cy="341630"/>
            <wp:effectExtent l="0" t="0" r="9525" b="8890"/>
            <wp:wrapNone/>
            <wp:docPr id="2" name="图片 2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2021年03月15日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2021年03月15日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4437E3"/>
    <w:rsid w:val="18D8564E"/>
    <w:rsid w:val="217D6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2021-03-16T07:08:27Z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