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0152-2021-QJEO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保定市仁和电力安装工程有限公司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Baoding Renhe power installation engineering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保定市朝阳南大街香江好天地商业广场B段529室</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071000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(英文)：Room 529, Section B, Xiangjiang haotiandi Commercial Plaza, Chaoyang South Street,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保定市竞秀区复兴中路3108号康泰国际2001</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071000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(英文)：Kangtai international 2001, No. 3108, Fuxing Middle Road, Jingxiu District, Baoding City</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911306026652857680</w:t>
      </w:r>
      <w:bookmarkEnd w:id="7"/>
      <w:r>
        <w:rPr>
          <w:rFonts w:hint="eastAsia"/>
          <w:b w:val="0"/>
          <w:bCs/>
          <w:color w:val="000000" w:themeColor="text1"/>
          <w:sz w:val="22"/>
          <w:szCs w:val="22"/>
          <w:lang w:eastAsia="zh-CN"/>
        </w:rPr>
        <w:t>，</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0312-5450518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丁兰</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赵雷</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45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EC：GB/T19001-2016/ISO9001:2015和GB/T50430-2017,</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EC:二阶段,E:二阶段,O:二阶段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EC：资质范围内的输变电工程</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E：资质范围内的输变电工程及所涉及场所的环境管理活动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O：资质范围内的输变电工程及所涉及场所的职业健康安全管理活动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QMS（英文）：Power transmission and transformation projects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The Relevant environmental management activities about Power transmission and transformation projects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b w:val="0"/>
          <w:bCs/>
          <w:color w:val="000000" w:themeColor="text1"/>
          <w:sz w:val="22"/>
          <w:szCs w:val="22"/>
          <w:u w:val="single"/>
          <w:lang w:val="en-US"/>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The Relevant occupational health and safety management activities about Power transmission and transformation projects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Wingdings 2" w:hAnsi="Wingdings 2"/>
          <w:b w:val="0"/>
          <w:bCs/>
          <w:color w:val="000000" w:themeColor="text1"/>
          <w:sz w:val="22"/>
          <w:szCs w:val="22"/>
        </w:rPr>
        <w:sym w:font="Wingdings 2" w:char="F0A3"/>
      </w:r>
      <w:r>
        <w:rPr>
          <w:rFonts w:ascii="Symbol" w:hAnsi="Symbol"/>
          <w:b w:val="0"/>
          <w:bCs/>
          <w:color w:val="000000" w:themeColor="text1"/>
          <w:sz w:val="22"/>
          <w:szCs w:val="22"/>
        </w:rPr>
        <w:sym w:font="Symbol" w:char="F0D6"/>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drawing>
          <wp:anchor distT="0" distB="0" distL="114300" distR="114300" simplePos="0" relativeHeight="251662336" behindDoc="0" locked="0" layoutInCell="1" allowOverlap="1">
            <wp:simplePos x="0" y="0"/>
            <wp:positionH relativeFrom="column">
              <wp:posOffset>4675505</wp:posOffset>
            </wp:positionH>
            <wp:positionV relativeFrom="paragraph">
              <wp:posOffset>34290</wp:posOffset>
            </wp:positionV>
            <wp:extent cx="845820" cy="431800"/>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845820" cy="431800"/>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3605530</wp:posOffset>
            </wp:positionH>
            <wp:positionV relativeFrom="paragraph">
              <wp:posOffset>62865</wp:posOffset>
            </wp:positionV>
            <wp:extent cx="959485" cy="4622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59485" cy="46228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2021.3.28</w:t>
      </w:r>
      <w:r>
        <w:rPr>
          <w:rFonts w:hint="eastAsia"/>
          <w:b w:val="0"/>
          <w:bCs/>
          <w:color w:val="000000" w:themeColor="text1"/>
          <w:sz w:val="22"/>
          <w:szCs w:val="22"/>
        </w:rPr>
        <w:t xml:space="preserve">                              日期：</w:t>
      </w:r>
      <w:r>
        <w:rPr>
          <w:rFonts w:hint="eastAsia"/>
          <w:b w:val="0"/>
          <w:bCs/>
          <w:color w:val="000000" w:themeColor="text1"/>
          <w:sz w:val="22"/>
          <w:szCs w:val="22"/>
          <w:lang w:val="en-US" w:eastAsia="zh-CN"/>
        </w:rPr>
        <w:t>2021.3.28</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082030" cy="8849360"/>
            <wp:effectExtent l="0" t="0" r="1270" b="2540"/>
            <wp:docPr id="4" name="图片 4" descr="新文档 2021-03-28 16.24.37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1-03-28 16.24.37_17"/>
                    <pic:cNvPicPr>
                      <a:picLocks noChangeAspect="1"/>
                    </pic:cNvPicPr>
                  </pic:nvPicPr>
                  <pic:blipFill>
                    <a:blip r:embed="rId7"/>
                    <a:stretch>
                      <a:fillRect/>
                    </a:stretch>
                  </pic:blipFill>
                  <pic:spPr>
                    <a:xfrm>
                      <a:off x="0" y="0"/>
                      <a:ext cx="6082030" cy="884936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213FE"/>
    <w:multiLevelType w:val="singleLevel"/>
    <w:tmpl w:val="CE9213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EB7CC6"/>
    <w:rsid w:val="1E601ACF"/>
    <w:rsid w:val="6CB54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2021-03-30T07:22:42Z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34ACCE1FB16D4D18A1FA0C99DB9D7122</vt:lpwstr>
  </property>
</Properties>
</file>