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117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4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7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管理层/员工代表 </w:t>
            </w:r>
            <w:r>
              <w:rPr>
                <w:rFonts w:hint="eastAsia"/>
                <w:sz w:val="24"/>
                <w:szCs w:val="24"/>
              </w:rPr>
              <w:t>主管领导：</w:t>
            </w:r>
            <w:r>
              <w:rPr>
                <w:rFonts w:hint="eastAsia"/>
                <w:sz w:val="24"/>
                <w:szCs w:val="24"/>
                <w:lang w:val="en-US" w:eastAsia="zh-CN"/>
              </w:rPr>
              <w:t xml:space="preserve">陈可、周建龙、聂小芳  </w:t>
            </w:r>
            <w:r>
              <w:rPr>
                <w:rFonts w:hint="eastAsia"/>
                <w:sz w:val="24"/>
                <w:szCs w:val="24"/>
              </w:rPr>
              <w:t>陪同人员：</w:t>
            </w:r>
            <w:r>
              <w:rPr>
                <w:rFonts w:hint="eastAsia"/>
                <w:sz w:val="24"/>
                <w:szCs w:val="24"/>
                <w:lang w:val="en-US" w:eastAsia="zh-CN"/>
              </w:rPr>
              <w:t>周丽勤</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45" w:type="dxa"/>
            <w:vMerge w:val="continue"/>
            <w:vAlign w:val="center"/>
          </w:tcPr>
          <w:p/>
        </w:tc>
        <w:tc>
          <w:tcPr>
            <w:tcW w:w="1175"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褚敏杰              </w:t>
            </w:r>
            <w:r>
              <w:rPr>
                <w:rFonts w:hint="eastAsia"/>
                <w:sz w:val="24"/>
                <w:szCs w:val="24"/>
              </w:rPr>
              <w:t>审核时间：</w:t>
            </w:r>
            <w:r>
              <w:rPr>
                <w:rFonts w:hint="eastAsia"/>
                <w:sz w:val="24"/>
                <w:szCs w:val="24"/>
                <w:lang w:val="en-US" w:eastAsia="zh-CN"/>
              </w:rPr>
              <w:t>2021.3.20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45" w:type="dxa"/>
            <w:vMerge w:val="continue"/>
            <w:vAlign w:val="center"/>
          </w:tcPr>
          <w:p/>
        </w:tc>
        <w:tc>
          <w:tcPr>
            <w:tcW w:w="1175" w:type="dxa"/>
            <w:vMerge w:val="continue"/>
            <w:vAlign w:val="center"/>
          </w:tcPr>
          <w:p/>
        </w:tc>
        <w:tc>
          <w:tcPr>
            <w:tcW w:w="10004" w:type="dxa"/>
            <w:vAlign w:val="center"/>
          </w:tcPr>
          <w:p>
            <w:pPr>
              <w:spacing w:line="360" w:lineRule="auto"/>
              <w:rPr>
                <w:rFonts w:hint="eastAsia"/>
                <w:sz w:val="24"/>
                <w:szCs w:val="24"/>
              </w:rPr>
            </w:pPr>
            <w:r>
              <w:rPr>
                <w:rFonts w:hint="eastAsia"/>
                <w:sz w:val="24"/>
                <w:szCs w:val="24"/>
              </w:rPr>
              <w:t>审核条款：</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7.1.1（EO7.1）资源总则、7.4沟通/信息交流、9.3管理评审、10.1改进、10.3持续改进，</w:t>
            </w:r>
          </w:p>
          <w:p>
            <w:pPr>
              <w:adjustRightInd w:val="0"/>
              <w:snapToGrid w:val="0"/>
              <w:spacing w:line="360" w:lineRule="auto"/>
              <w:ind w:right="105" w:rightChars="50"/>
              <w:textAlignment w:val="baseline"/>
              <w:rPr>
                <w:sz w:val="24"/>
                <w:szCs w:val="24"/>
              </w:rPr>
            </w:pPr>
            <w:r>
              <w:rPr>
                <w:rFonts w:hint="eastAsia" w:ascii="宋体" w:hAnsi="宋体" w:eastAsia="宋体" w:cs="Arial"/>
                <w:spacing w:val="-6"/>
                <w:sz w:val="21"/>
                <w:szCs w:val="21"/>
              </w:rPr>
              <w:t>国家/地方监督抽查情况；顾客满意、相关方投诉及处理情况；一阶段问题验证，验证企业相关资质证明的有效性；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rPr>
              <w:t>理解组织及其环境</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rPr>
              <w:t>QEO:4.1</w:t>
            </w:r>
          </w:p>
        </w:tc>
        <w:tc>
          <w:tcPr>
            <w:tcW w:w="10004" w:type="dxa"/>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eastAsia="宋体" w:cs="Arial"/>
                <w:color w:val="auto"/>
                <w:spacing w:val="-6"/>
                <w:sz w:val="21"/>
                <w:szCs w:val="21"/>
              </w:rPr>
              <w:t>江西正天酒店用品有限公司成立</w:t>
            </w:r>
            <w:r>
              <w:rPr>
                <w:rFonts w:hint="eastAsia" w:ascii="宋体" w:hAnsi="宋体" w:cs="Arial"/>
                <w:color w:val="auto"/>
                <w:spacing w:val="-6"/>
                <w:sz w:val="21"/>
                <w:szCs w:val="21"/>
                <w:lang w:val="en-US" w:eastAsia="zh-CN"/>
              </w:rPr>
              <w:t>于</w:t>
            </w:r>
            <w:r>
              <w:rPr>
                <w:rFonts w:hint="eastAsia" w:ascii="宋体" w:hAnsi="宋体" w:eastAsia="宋体" w:cs="Arial"/>
                <w:color w:val="auto"/>
                <w:spacing w:val="-6"/>
                <w:sz w:val="21"/>
                <w:szCs w:val="21"/>
              </w:rPr>
              <w:t>2015年11月02日</w:t>
            </w:r>
            <w:r>
              <w:rPr>
                <w:rFonts w:hint="eastAsia" w:ascii="宋体" w:hAnsi="宋体" w:cs="Arial"/>
                <w:color w:val="auto"/>
                <w:spacing w:val="-6"/>
                <w:sz w:val="21"/>
                <w:szCs w:val="21"/>
                <w:lang w:eastAsia="zh-CN"/>
              </w:rPr>
              <w:t>；</w:t>
            </w:r>
            <w:r>
              <w:rPr>
                <w:rFonts w:hint="eastAsia" w:ascii="宋体" w:hAnsi="宋体" w:eastAsia="宋体" w:cs="Arial"/>
                <w:color w:val="auto"/>
                <w:spacing w:val="-6"/>
                <w:sz w:val="21"/>
                <w:szCs w:val="21"/>
              </w:rPr>
              <w:t>位于江西省南昌市青山湖区昌安路565号洪大城东产业园1#楼202室</w:t>
            </w:r>
            <w:r>
              <w:rPr>
                <w:rFonts w:hint="eastAsia" w:ascii="宋体" w:hAnsi="宋体" w:cs="Arial"/>
                <w:color w:val="auto"/>
                <w:spacing w:val="-6"/>
                <w:sz w:val="21"/>
                <w:szCs w:val="21"/>
                <w:lang w:val="en-US" w:eastAsia="zh-CN"/>
              </w:rPr>
              <w:t>.</w:t>
            </w:r>
            <w:bookmarkStart w:id="0" w:name="_GoBack"/>
            <w:bookmarkEnd w:id="0"/>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公司注册资金501万，是一家专业提供各类酒店用品综合配套服务的大型酒店用品供应商。</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拥有面积近2000平方米的大型酒店用品专业展厅。</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公司</w:t>
            </w:r>
            <w:r>
              <w:rPr>
                <w:rFonts w:hint="eastAsia" w:ascii="宋体" w:hAnsi="宋体" w:cs="Arial"/>
                <w:color w:val="auto"/>
                <w:spacing w:val="-6"/>
                <w:sz w:val="21"/>
                <w:szCs w:val="21"/>
                <w:lang w:val="en-US" w:eastAsia="zh-CN"/>
              </w:rPr>
              <w:t>设置</w:t>
            </w:r>
            <w:r>
              <w:rPr>
                <w:rFonts w:hint="eastAsia" w:ascii="宋体" w:hAnsi="宋体" w:eastAsia="宋体" w:cs="Arial"/>
                <w:color w:val="auto"/>
                <w:spacing w:val="-6"/>
                <w:sz w:val="21"/>
                <w:szCs w:val="21"/>
              </w:rPr>
              <w:t>有</w:t>
            </w:r>
            <w:r>
              <w:rPr>
                <w:rFonts w:hint="eastAsia" w:ascii="宋体" w:hAnsi="宋体" w:cs="Arial"/>
                <w:color w:val="auto"/>
                <w:spacing w:val="-6"/>
                <w:sz w:val="21"/>
                <w:szCs w:val="21"/>
                <w:lang w:val="en-US" w:eastAsia="zh-CN"/>
              </w:rPr>
              <w:t>行政部</w:t>
            </w:r>
            <w:r>
              <w:rPr>
                <w:rFonts w:hint="eastAsia" w:ascii="宋体" w:hAnsi="宋体" w:eastAsia="宋体" w:cs="Arial"/>
                <w:color w:val="auto"/>
                <w:spacing w:val="-6"/>
                <w:sz w:val="21"/>
                <w:szCs w:val="21"/>
              </w:rPr>
              <w:t>、</w:t>
            </w:r>
            <w:r>
              <w:rPr>
                <w:rFonts w:hint="eastAsia" w:ascii="宋体" w:hAnsi="宋体" w:cs="Arial"/>
                <w:color w:val="auto"/>
                <w:spacing w:val="-6"/>
                <w:sz w:val="21"/>
                <w:szCs w:val="21"/>
                <w:lang w:val="en-US" w:eastAsia="zh-CN"/>
              </w:rPr>
              <w:t>供销部</w:t>
            </w:r>
            <w:r>
              <w:rPr>
                <w:rFonts w:hint="eastAsia" w:ascii="宋体" w:hAnsi="宋体" w:eastAsia="宋体" w:cs="Arial"/>
                <w:color w:val="auto"/>
                <w:spacing w:val="-6"/>
                <w:sz w:val="21"/>
                <w:szCs w:val="21"/>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eastAsia="宋体" w:cs="Arial"/>
                <w:color w:val="auto"/>
                <w:spacing w:val="-6"/>
                <w:sz w:val="21"/>
                <w:szCs w:val="21"/>
              </w:rPr>
              <w:t>总经理定期汇总分析市场情况，包括行业发展情况，相关企业产品分析，竞品分析，</w:t>
            </w:r>
            <w:r>
              <w:rPr>
                <w:rFonts w:hint="eastAsia" w:ascii="宋体" w:hAnsi="宋体" w:cs="Arial"/>
                <w:color w:val="auto"/>
                <w:spacing w:val="-6"/>
                <w:sz w:val="21"/>
                <w:szCs w:val="21"/>
              </w:rPr>
              <w:t>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如</w:t>
            </w:r>
            <w:r>
              <w:rPr>
                <w:rFonts w:hint="eastAsia" w:ascii="宋体" w:hAnsi="宋体" w:cs="Arial"/>
                <w:color w:val="auto"/>
                <w:spacing w:val="-6"/>
                <w:sz w:val="21"/>
                <w:szCs w:val="21"/>
                <w:lang w:eastAsia="zh-CN"/>
              </w:rPr>
              <w:t>：</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外部因素——材料价格变动、供应商政策、客户需求的变化、新技术的采用等；；</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内部因素有-公司文化、内部管理机制的建立、人员稳定性、员工年龄、经验等；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这些因素包括了需要考虑的正面和负面因素或条件。</w:t>
            </w:r>
          </w:p>
          <w:p>
            <w:pPr>
              <w:adjustRightInd w:val="0"/>
              <w:snapToGrid w:val="0"/>
              <w:spacing w:line="360" w:lineRule="auto"/>
              <w:ind w:right="105" w:rightChars="50" w:firstLine="396" w:firstLineChars="200"/>
              <w:textAlignment w:val="baseline"/>
              <w:rPr>
                <w:rFonts w:hint="eastAsia"/>
              </w:rPr>
            </w:pPr>
            <w:r>
              <w:rPr>
                <w:rFonts w:hint="eastAsia" w:ascii="宋体" w:hAnsi="宋体" w:eastAsia="宋体" w:cs="Arial"/>
                <w:color w:val="auto"/>
                <w:spacing w:val="-6"/>
                <w:sz w:val="21"/>
                <w:szCs w:val="21"/>
              </w:rPr>
              <w:t>公司每年根据公司销售人员从市场、客户、网络等搜集到的信息并结合公司自身业务运作情况进行分析，通过分析对这些内部和外部因素的相关信息进行监视和评审以确保其充分和适宜。</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理解相关方的需求和期望</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4.2</w:t>
            </w:r>
          </w:p>
        </w:tc>
        <w:tc>
          <w:tcPr>
            <w:tcW w:w="10004" w:type="dxa"/>
          </w:tcPr>
          <w:p>
            <w:pPr>
              <w:spacing w:line="360" w:lineRule="auto"/>
              <w:ind w:firstLine="420" w:firstLineChars="200"/>
              <w:rPr>
                <w:rFonts w:hint="eastAsia"/>
                <w:color w:val="auto"/>
                <w:lang w:val="en-US" w:eastAsia="zh-CN"/>
              </w:rPr>
            </w:pPr>
            <w:r>
              <w:rPr>
                <w:rFonts w:hint="eastAsia"/>
                <w:color w:val="auto"/>
                <w:lang w:val="en-US" w:eastAsia="zh-CN"/>
              </w:rPr>
              <w:t>保留“</w:t>
            </w:r>
            <w:r>
              <w:rPr>
                <w:rFonts w:hint="eastAsia"/>
                <w:color w:val="auto"/>
              </w:rPr>
              <w:t>相关方期望或要求识别表</w:t>
            </w:r>
            <w:r>
              <w:rPr>
                <w:rFonts w:hint="eastAsia"/>
                <w:color w:val="auto"/>
                <w:lang w:eastAsia="zh-CN"/>
              </w:rPr>
              <w:t>”，</w:t>
            </w:r>
            <w:r>
              <w:rPr>
                <w:rFonts w:hint="eastAsia"/>
                <w:color w:val="auto"/>
                <w:lang w:val="en-US" w:eastAsia="zh-CN"/>
              </w:rPr>
              <w:t>公司内外部相关方包括：</w:t>
            </w:r>
            <w:r>
              <w:rPr>
                <w:rFonts w:hint="eastAsia"/>
                <w:color w:val="auto"/>
              </w:rPr>
              <w:t>顾客/最终消费者</w:t>
            </w:r>
            <w:r>
              <w:rPr>
                <w:rFonts w:hint="eastAsia"/>
                <w:color w:val="auto"/>
                <w:lang w:eastAsia="zh-CN"/>
              </w:rPr>
              <w:t>、</w:t>
            </w:r>
            <w:r>
              <w:rPr>
                <w:rFonts w:hint="eastAsia"/>
                <w:color w:val="auto"/>
              </w:rPr>
              <w:t>员工</w:t>
            </w:r>
            <w:r>
              <w:rPr>
                <w:rFonts w:hint="eastAsia"/>
                <w:color w:val="auto"/>
                <w:lang w:eastAsia="zh-CN"/>
              </w:rPr>
              <w:t>、</w:t>
            </w:r>
            <w:r>
              <w:rPr>
                <w:rFonts w:hint="eastAsia"/>
                <w:color w:val="auto"/>
              </w:rPr>
              <w:t>政府</w:t>
            </w:r>
            <w:r>
              <w:rPr>
                <w:rFonts w:hint="eastAsia"/>
                <w:color w:val="auto"/>
                <w:lang w:eastAsia="zh-CN"/>
              </w:rPr>
              <w:t>、</w:t>
            </w:r>
            <w:r>
              <w:rPr>
                <w:rFonts w:hint="eastAsia"/>
                <w:color w:val="auto"/>
              </w:rPr>
              <w:t>外部供方</w:t>
            </w:r>
            <w:r>
              <w:rPr>
                <w:rFonts w:hint="eastAsia"/>
                <w:color w:val="auto"/>
                <w:lang w:eastAsia="zh-CN"/>
              </w:rPr>
              <w:t>、</w:t>
            </w:r>
            <w:r>
              <w:rPr>
                <w:rFonts w:hint="eastAsia"/>
                <w:color w:val="auto"/>
              </w:rPr>
              <w:t>竞争对手</w:t>
            </w:r>
            <w:r>
              <w:rPr>
                <w:rFonts w:hint="eastAsia"/>
                <w:color w:val="auto"/>
                <w:lang w:eastAsia="zh-CN"/>
              </w:rPr>
              <w:t>、</w:t>
            </w:r>
            <w:r>
              <w:rPr>
                <w:rFonts w:hint="eastAsia"/>
                <w:color w:val="auto"/>
              </w:rPr>
              <w:t>社会相邻单位</w:t>
            </w:r>
            <w:r>
              <w:rPr>
                <w:rFonts w:hint="eastAsia"/>
                <w:color w:val="auto"/>
                <w:lang w:val="en-US" w:eastAsia="zh-CN"/>
              </w:rPr>
              <w:t>等，</w:t>
            </w:r>
          </w:p>
          <w:p>
            <w:pPr>
              <w:spacing w:line="360" w:lineRule="auto"/>
              <w:ind w:firstLine="420" w:firstLineChars="200"/>
              <w:rPr>
                <w:rFonts w:hint="eastAsia"/>
                <w:color w:val="auto"/>
                <w:lang w:val="en-US" w:eastAsia="zh-CN"/>
              </w:rPr>
            </w:pPr>
            <w:r>
              <w:rPr>
                <w:rFonts w:hint="eastAsia"/>
                <w:color w:val="auto"/>
                <w:lang w:val="en-US" w:eastAsia="zh-CN"/>
              </w:rPr>
              <w:t>清单中明确了相关方要求与期望、监测指标或项目、监测频率、监测部门等。</w:t>
            </w:r>
          </w:p>
          <w:p>
            <w:pPr>
              <w:spacing w:line="360" w:lineRule="auto"/>
              <w:ind w:firstLine="420" w:firstLineChars="200"/>
              <w:rPr>
                <w:rFonts w:hint="default" w:eastAsia="宋体"/>
                <w:lang w:val="en-US" w:eastAsia="zh-CN"/>
              </w:rPr>
            </w:pPr>
            <w:r>
              <w:rPr>
                <w:rFonts w:hint="eastAsia"/>
                <w:color w:val="auto"/>
                <w:lang w:val="en-US" w:eastAsia="zh-CN"/>
              </w:rPr>
              <w:t>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应对风险和机遇的措施</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确定管理体系的范围</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质量/环境管理体系及其过程</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8.3删减合理性</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default" w:ascii="宋体" w:hAnsi="宋体" w:eastAsia="宋体" w:cs="Arial"/>
                <w:spacing w:val="-6"/>
                <w:sz w:val="21"/>
                <w:szCs w:val="21"/>
                <w:lang w:val="en-US" w:eastAsia="zh-CN"/>
              </w:rPr>
              <w:t>变更的策划</w:t>
            </w:r>
          </w:p>
        </w:tc>
        <w:tc>
          <w:tcPr>
            <w:tcW w:w="1175"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QEO:6.1</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4.3</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4.4</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Q:8.3</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6.3</w:t>
            </w:r>
          </w:p>
        </w:tc>
        <w:tc>
          <w:tcPr>
            <w:tcW w:w="10004" w:type="dxa"/>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基于对4.1和4.2的考虑，分析了公司存在的风险和机遇：</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lang w:val="en-US" w:eastAsia="zh-CN"/>
              </w:rPr>
              <w:t>存在的机遇：民以食为天，对整个行业的发展总体是利好；公司主要人员在行业内从业几十年，有着良好的口碑；给公司的发展带来了机遇</w:t>
            </w:r>
            <w:r>
              <w:rPr>
                <w:rFonts w:hint="eastAsia" w:ascii="宋体" w:hAnsi="宋体" w:cs="Arial"/>
                <w:color w:val="auto"/>
                <w:spacing w:val="-6"/>
                <w:sz w:val="21"/>
                <w:szCs w:val="21"/>
                <w:highlight w:val="none"/>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lang w:val="en-US" w:eastAsia="zh-CN"/>
              </w:rPr>
              <w:t>存在的风险：主要来自竞争对手的竞争，行业入门容易、技术含量低，员工年轻经验不够丰富等</w:t>
            </w:r>
            <w:r>
              <w:rPr>
                <w:rFonts w:hint="eastAsia" w:ascii="宋体" w:hAnsi="宋体" w:cs="Arial"/>
                <w:color w:val="auto"/>
                <w:spacing w:val="-6"/>
                <w:sz w:val="21"/>
                <w:szCs w:val="21"/>
                <w:highlight w:val="none"/>
                <w:lang w:eastAsia="zh-CN"/>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编制有《风险和机遇的应对控制程序》，对组织内外的风险和机遇进行了策划。</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重要环境因素：潜在火灾</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能源消耗</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固废排放等，基本合理。</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控制措施：一般固废集中收集外售；危废</w:t>
            </w:r>
            <w:r>
              <w:rPr>
                <w:rFonts w:hint="eastAsia" w:ascii="宋体" w:hAnsi="宋体" w:cs="Arial"/>
                <w:color w:val="auto"/>
                <w:spacing w:val="-6"/>
                <w:sz w:val="21"/>
                <w:szCs w:val="21"/>
                <w:lang w:val="en-US" w:eastAsia="zh-CN"/>
              </w:rPr>
              <w:t>由供应商带回以旧换新</w:t>
            </w:r>
            <w:r>
              <w:rPr>
                <w:rFonts w:hint="eastAsia" w:ascii="宋体" w:hAnsi="宋体" w:cs="Arial"/>
                <w:color w:val="auto"/>
                <w:spacing w:val="-6"/>
                <w:sz w:val="21"/>
                <w:szCs w:val="21"/>
              </w:rPr>
              <w:t>；提高安全意识</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做好火灾预防措施</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应急预案。</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一旦发生按相关应急预案执行；制定目标、指标</w:t>
            </w:r>
            <w:r>
              <w:rPr>
                <w:rFonts w:hint="eastAsia" w:ascii="宋体" w:hAnsi="宋体" w:cs="Arial"/>
                <w:color w:val="auto"/>
                <w:spacing w:val="-6"/>
                <w:sz w:val="21"/>
                <w:szCs w:val="21"/>
                <w:lang w:val="en-US" w:eastAsia="zh-CN"/>
              </w:rPr>
              <w:t>和管理方案</w:t>
            </w:r>
            <w:r>
              <w:rPr>
                <w:rFonts w:hint="eastAsia" w:ascii="宋体" w:hAnsi="宋体" w:cs="Arial"/>
                <w:color w:val="auto"/>
                <w:spacing w:val="-6"/>
                <w:sz w:val="21"/>
                <w:szCs w:val="21"/>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rPr>
              <w:t>不可接受风险有：触电伤害</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潜在火灾</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交通意外伤害</w:t>
            </w:r>
            <w:r>
              <w:rPr>
                <w:rFonts w:hint="eastAsia" w:ascii="宋体" w:hAnsi="宋体" w:cs="Arial"/>
                <w:color w:val="auto"/>
                <w:spacing w:val="-6"/>
                <w:sz w:val="21"/>
                <w:szCs w:val="21"/>
                <w:lang w:val="en-US" w:eastAsia="zh-CN"/>
              </w:rPr>
              <w:t>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控制措施：提高安全意识，做好火灾预防措施</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应急预案。</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一旦发生按相关应急预案执行；制定目标、指标</w:t>
            </w:r>
            <w:r>
              <w:rPr>
                <w:rFonts w:hint="eastAsia" w:ascii="宋体" w:hAnsi="宋体" w:cs="Arial"/>
                <w:color w:val="auto"/>
                <w:spacing w:val="-6"/>
                <w:sz w:val="21"/>
                <w:szCs w:val="21"/>
                <w:lang w:val="en-US" w:eastAsia="zh-CN"/>
              </w:rPr>
              <w:t>和管理方案</w:t>
            </w:r>
            <w:r>
              <w:rPr>
                <w:rFonts w:hint="eastAsia" w:ascii="宋体" w:hAnsi="宋体" w:cs="Arial"/>
                <w:color w:val="auto"/>
                <w:spacing w:val="-6"/>
                <w:sz w:val="21"/>
                <w:szCs w:val="21"/>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为应对</w:t>
            </w:r>
            <w:r>
              <w:rPr>
                <w:rFonts w:hint="eastAsia" w:ascii="宋体" w:hAnsi="宋体" w:cs="Arial"/>
                <w:color w:val="auto"/>
                <w:spacing w:val="-6"/>
                <w:sz w:val="21"/>
                <w:szCs w:val="21"/>
                <w:lang w:val="en-US" w:eastAsia="zh-CN"/>
              </w:rPr>
              <w:t>上述</w:t>
            </w:r>
            <w:r>
              <w:rPr>
                <w:rFonts w:hint="eastAsia" w:ascii="宋体" w:hAnsi="宋体" w:cs="Arial"/>
                <w:color w:val="auto"/>
                <w:spacing w:val="-6"/>
                <w:sz w:val="21"/>
                <w:szCs w:val="21"/>
              </w:rPr>
              <w:t>的风险和机遇，公司依据ISO9001：2015、ISO14001：2015、ISO45001：2018标准的要求并结合本公司的具体情况，采取PDCA的过程方法，建立、实施、保持并持续改进质量、环境、职业健康安全管理体系。</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cs="Arial"/>
                <w:color w:val="auto"/>
                <w:spacing w:val="-6"/>
                <w:sz w:val="21"/>
                <w:szCs w:val="21"/>
                <w:lang w:val="en-US" w:eastAsia="zh-CN"/>
              </w:rPr>
              <w:t>保持</w:t>
            </w:r>
            <w:r>
              <w:rPr>
                <w:rFonts w:hint="eastAsia" w:ascii="宋体" w:hAnsi="宋体" w:cs="Arial"/>
                <w:color w:val="auto"/>
                <w:spacing w:val="-6"/>
                <w:sz w:val="21"/>
                <w:szCs w:val="21"/>
              </w:rPr>
              <w:t>《管理手册》A/0版，</w:t>
            </w:r>
            <w:r>
              <w:rPr>
                <w:rFonts w:hint="eastAsia" w:ascii="宋体" w:hAnsi="宋体" w:cs="Arial"/>
                <w:color w:val="auto"/>
                <w:spacing w:val="-6"/>
                <w:sz w:val="21"/>
                <w:szCs w:val="21"/>
                <w:lang w:val="en-US" w:eastAsia="zh-CN"/>
              </w:rPr>
              <w:t>于</w:t>
            </w:r>
            <w:r>
              <w:rPr>
                <w:rFonts w:hint="eastAsia" w:ascii="宋体" w:hAnsi="宋体" w:cs="Arial"/>
                <w:color w:val="auto"/>
                <w:spacing w:val="-6"/>
                <w:sz w:val="21"/>
                <w:szCs w:val="21"/>
              </w:rPr>
              <w:t>2020年10月10日</w:t>
            </w:r>
            <w:r>
              <w:rPr>
                <w:rFonts w:hint="eastAsia" w:ascii="宋体" w:hAnsi="宋体" w:cs="Arial"/>
                <w:color w:val="auto"/>
                <w:spacing w:val="-6"/>
                <w:sz w:val="21"/>
                <w:szCs w:val="21"/>
                <w:lang w:val="en-US" w:eastAsia="zh-CN"/>
              </w:rPr>
              <w:t>实施</w:t>
            </w:r>
            <w:r>
              <w:rPr>
                <w:rFonts w:hint="eastAsia" w:ascii="宋体" w:hAnsi="宋体" w:cs="Arial"/>
                <w:color w:val="auto"/>
                <w:spacing w:val="-6"/>
                <w:sz w:val="21"/>
                <w:szCs w:val="21"/>
                <w:lang w:eastAsia="zh-CN"/>
              </w:rPr>
              <w:t>；</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保持</w:t>
            </w:r>
            <w:r>
              <w:rPr>
                <w:rFonts w:hint="eastAsia" w:ascii="宋体" w:hAnsi="宋体" w:cs="Arial"/>
                <w:color w:val="auto"/>
                <w:spacing w:val="-6"/>
                <w:sz w:val="21"/>
                <w:szCs w:val="21"/>
              </w:rPr>
              <w:t>程序文件2</w:t>
            </w:r>
            <w:r>
              <w:rPr>
                <w:rFonts w:hint="eastAsia" w:ascii="宋体" w:hAnsi="宋体" w:cs="Arial"/>
                <w:color w:val="auto"/>
                <w:spacing w:val="-6"/>
                <w:sz w:val="21"/>
                <w:szCs w:val="21"/>
                <w:lang w:val="en-US" w:eastAsia="zh-CN"/>
              </w:rPr>
              <w:t>6</w:t>
            </w:r>
            <w:r>
              <w:rPr>
                <w:rFonts w:hint="eastAsia" w:ascii="宋体" w:hAnsi="宋体" w:cs="Arial"/>
                <w:color w:val="auto"/>
                <w:spacing w:val="-6"/>
                <w:sz w:val="21"/>
                <w:szCs w:val="21"/>
              </w:rPr>
              <w:t>个，版本号：A/0；废弃物控制程序</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噪声控制程序</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消防控制程序</w:t>
            </w:r>
            <w:r>
              <w:rPr>
                <w:rFonts w:hint="eastAsia" w:ascii="宋体" w:hAnsi="宋体" w:cs="Arial"/>
                <w:color w:val="auto"/>
                <w:spacing w:val="-6"/>
                <w:sz w:val="21"/>
                <w:szCs w:val="21"/>
                <w:lang w:eastAsia="zh-CN"/>
              </w:rPr>
              <w:t>、顾客满意度控制程序、采购控制程序、销售和服务管理控制程序</w:t>
            </w:r>
            <w:r>
              <w:rPr>
                <w:rFonts w:hint="eastAsia" w:ascii="宋体" w:hAnsi="宋体" w:cs="Arial"/>
                <w:color w:val="auto"/>
                <w:spacing w:val="-6"/>
                <w:sz w:val="21"/>
                <w:szCs w:val="21"/>
                <w:lang w:val="en-US" w:eastAsia="zh-CN"/>
              </w:rPr>
              <w:t>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cs="Arial"/>
                <w:color w:val="auto"/>
                <w:spacing w:val="-6"/>
                <w:sz w:val="21"/>
                <w:szCs w:val="21"/>
                <w:lang w:val="en-US" w:eastAsia="zh-CN"/>
              </w:rPr>
              <w:t>培训管理制度、能源使用管理规定、选择评价和重新评价供方的准则、进货验收规范、销售服务规范等</w:t>
            </w:r>
            <w:r>
              <w:rPr>
                <w:rFonts w:hint="eastAsia" w:ascii="宋体" w:hAnsi="宋体" w:cs="Arial"/>
                <w:color w:val="auto"/>
                <w:spacing w:val="-6"/>
                <w:sz w:val="21"/>
                <w:szCs w:val="21"/>
                <w:lang w:eastAsia="zh-CN"/>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rPr>
              <w:t>建立有外来文件清单，</w:t>
            </w:r>
            <w:r>
              <w:rPr>
                <w:rFonts w:hint="eastAsia" w:ascii="宋体" w:hAnsi="宋体" w:cs="Arial"/>
                <w:color w:val="auto"/>
                <w:spacing w:val="-6"/>
                <w:sz w:val="21"/>
                <w:szCs w:val="21"/>
                <w:lang w:val="en-US" w:eastAsia="zh-CN"/>
              </w:rPr>
              <w:t>收集有中华人民共和国产品质量法、中华人民共和国环境保护法、中华人民共和国消防法等7个；</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建立适用的法律法规及其他要求一览表，</w:t>
            </w:r>
            <w:r>
              <w:rPr>
                <w:rFonts w:hint="eastAsia" w:ascii="宋体" w:hAnsi="宋体" w:cs="Arial"/>
                <w:color w:val="auto"/>
                <w:spacing w:val="-6"/>
                <w:sz w:val="21"/>
                <w:szCs w:val="21"/>
                <w:lang w:val="en-US" w:eastAsia="zh-CN"/>
              </w:rPr>
              <w:t>收集质量、环境、职业健康安全相关法律法规、标准、条例、地方性法规等64个，基本符合。</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本公司识别并确定了如下分工及过程：采购过程、销售过程、检验与交付过程、绩效分析、评价与改进等多个过程。</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lang w:val="en-US" w:eastAsia="zh-CN"/>
              </w:rPr>
              <w:t>业务</w:t>
            </w:r>
            <w:r>
              <w:rPr>
                <w:rFonts w:hint="eastAsia" w:ascii="宋体" w:hAnsi="宋体" w:cs="Arial"/>
                <w:color w:val="auto"/>
                <w:spacing w:val="-6"/>
                <w:sz w:val="21"/>
                <w:szCs w:val="21"/>
              </w:rPr>
              <w:t>流程如下：</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产品要求信息获取---产品要求评审----签订合同---采购----质检----销售</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管理手册中</w:t>
            </w:r>
            <w:r>
              <w:rPr>
                <w:rFonts w:hint="eastAsia" w:ascii="宋体" w:hAnsi="宋体" w:cs="Arial"/>
                <w:color w:val="auto"/>
                <w:spacing w:val="-6"/>
                <w:sz w:val="21"/>
                <w:szCs w:val="21"/>
                <w:lang w:val="en-US" w:eastAsia="zh-CN"/>
              </w:rPr>
              <w:t>确定</w:t>
            </w:r>
            <w:r>
              <w:rPr>
                <w:rFonts w:hint="eastAsia" w:ascii="宋体" w:hAnsi="宋体" w:cs="Arial"/>
                <w:color w:val="auto"/>
                <w:spacing w:val="-6"/>
                <w:sz w:val="21"/>
                <w:szCs w:val="21"/>
              </w:rPr>
              <w:t>的认证范围：</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Q：酒店用品、厨房设备的销售</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E：酒店用品、厨房设备的销售所涉及场所的相关环境管理活动</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O：酒店用品、厨房设备的销售所涉及场所的相关职业健康安全管理活动</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不适用条款：Q8.3。酒店用品、厨房设备产品的销售及其所涉及的相关管理活动均参照行业标准、企业规范及客户提供的尺寸、工艺要求组织销售，其销售过程不涉及GB/T19001-2016/ISO 9001:2015标准中8.3条款内容，其不适用的要求不影响公司确保其产品和服务合格的能力和责任，对增强顾客满意也不会产生影响。</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管理体系</w:t>
            </w:r>
            <w:r>
              <w:rPr>
                <w:rFonts w:hint="eastAsia" w:ascii="宋体" w:hAnsi="宋体" w:cs="Arial"/>
                <w:color w:val="auto"/>
                <w:spacing w:val="-6"/>
                <w:sz w:val="21"/>
                <w:szCs w:val="21"/>
                <w:lang w:val="en-US" w:eastAsia="zh-CN"/>
              </w:rPr>
              <w:t>建立以来无变更</w:t>
            </w:r>
            <w:r>
              <w:rPr>
                <w:rFonts w:hint="eastAsia" w:ascii="宋体" w:hAnsi="宋体" w:cs="Arial"/>
                <w:color w:val="auto"/>
                <w:spacing w:val="-6"/>
                <w:sz w:val="21"/>
                <w:szCs w:val="21"/>
              </w:rPr>
              <w:t>。</w:t>
            </w:r>
          </w:p>
          <w:p>
            <w:pPr>
              <w:adjustRightInd w:val="0"/>
              <w:snapToGrid w:val="0"/>
              <w:spacing w:line="360" w:lineRule="auto"/>
              <w:ind w:right="105" w:rightChars="50" w:firstLine="396" w:firstLineChars="200"/>
              <w:textAlignment w:val="baseline"/>
              <w:rPr>
                <w:color w:val="auto"/>
              </w:rPr>
            </w:pPr>
            <w:r>
              <w:rPr>
                <w:rFonts w:hint="eastAsia" w:ascii="宋体" w:hAnsi="宋体" w:cs="Arial"/>
                <w:color w:val="auto"/>
                <w:spacing w:val="-6"/>
                <w:sz w:val="21"/>
                <w:szCs w:val="21"/>
              </w:rPr>
              <w:t>基本合理。</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质量/环境/职业健康方针</w:t>
            </w:r>
          </w:p>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质量/环境/职业健康安全目标及其实现的策划</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5.2</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6.2</w:t>
            </w:r>
          </w:p>
        </w:tc>
        <w:tc>
          <w:tcPr>
            <w:tcW w:w="10004" w:type="dxa"/>
          </w:tcPr>
          <w:p>
            <w:pPr>
              <w:spacing w:line="360" w:lineRule="auto"/>
              <w:ind w:firstLine="420" w:firstLineChars="200"/>
              <w:rPr>
                <w:rFonts w:hint="eastAsia"/>
                <w:color w:val="auto"/>
              </w:rPr>
            </w:pPr>
            <w:r>
              <w:rPr>
                <w:rFonts w:hint="eastAsia"/>
                <w:color w:val="auto"/>
              </w:rPr>
              <w:t>《管理手册》中明确了公司的质量、环境、职业健康安全方针是：</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质量环境职业健康安全方针：</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 xml:space="preserve">质量至上、持续创新、诚实守信、顾客至上 </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预防为主，降低风险；遵章守法，创造和谐</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lang w:val="en-US" w:eastAsia="zh-CN"/>
              </w:rPr>
              <w:t>方针适宜于公司现状，在管理手册中明确，通过文件发放，</w:t>
            </w:r>
            <w:r>
              <w:rPr>
                <w:rFonts w:hint="eastAsia" w:cs="Times New Roman"/>
                <w:color w:val="auto"/>
                <w:szCs w:val="22"/>
                <w:lang w:val="en-US" w:eastAsia="zh-CN"/>
              </w:rPr>
              <w:t>使</w:t>
            </w:r>
            <w:r>
              <w:rPr>
                <w:rFonts w:hint="eastAsia" w:ascii="Times New Roman" w:hAnsi="Times New Roman" w:eastAsia="宋体" w:cs="Times New Roman"/>
                <w:color w:val="auto"/>
                <w:szCs w:val="22"/>
                <w:lang w:val="en-US" w:eastAsia="zh-CN"/>
              </w:rPr>
              <w:t>员工获知，适用时提供给相关方。并以方针为框架，建立了公司管理目标：</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质量目标：1、交货及时率≥95%；</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 xml:space="preserve">          2、顾客满意度≥92分；</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环境目标：固体废弃物分类处理率100%；</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职业健康安全目标：火灾事故未0；交通意外伤害为零。</w:t>
            </w:r>
          </w:p>
          <w:p>
            <w:pPr>
              <w:spacing w:line="360" w:lineRule="auto"/>
              <w:ind w:firstLine="420" w:firstLineChars="200"/>
              <w:rPr>
                <w:rFonts w:hint="default"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保留有</w:t>
            </w:r>
            <w:r>
              <w:rPr>
                <w:rFonts w:hint="default" w:ascii="Times New Roman" w:hAnsi="Times New Roman" w:eastAsia="宋体" w:cs="Times New Roman"/>
                <w:color w:val="auto"/>
                <w:szCs w:val="22"/>
                <w:lang w:val="en-US" w:eastAsia="zh-CN"/>
              </w:rPr>
              <w:t>公司的环境和安全管理方案和控制措施。基本符合。</w:t>
            </w:r>
          </w:p>
          <w:p>
            <w:pPr>
              <w:spacing w:line="360" w:lineRule="auto"/>
              <w:ind w:firstLine="396" w:firstLineChars="200"/>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保留“</w:t>
            </w:r>
            <w:r>
              <w:rPr>
                <w:rFonts w:hint="eastAsia" w:ascii="宋体" w:hAnsi="宋体" w:cs="Arial"/>
                <w:color w:val="auto"/>
                <w:spacing w:val="-6"/>
                <w:sz w:val="21"/>
                <w:szCs w:val="21"/>
                <w:lang w:val="en-US" w:eastAsia="zh-CN"/>
              </w:rPr>
              <w:t>公司目标实施措施表</w:t>
            </w:r>
            <w:r>
              <w:rPr>
                <w:rFonts w:hint="default" w:ascii="宋体" w:hAnsi="宋体" w:cs="Arial"/>
                <w:color w:val="auto"/>
                <w:spacing w:val="-6"/>
                <w:sz w:val="21"/>
                <w:szCs w:val="21"/>
                <w:lang w:val="en-US" w:eastAsia="zh-CN"/>
              </w:rPr>
              <w:t>”，对管理目标</w:t>
            </w:r>
            <w:r>
              <w:rPr>
                <w:rFonts w:hint="eastAsia" w:ascii="宋体" w:hAnsi="宋体" w:cs="Arial"/>
                <w:color w:val="auto"/>
                <w:spacing w:val="-6"/>
                <w:sz w:val="21"/>
                <w:szCs w:val="21"/>
                <w:lang w:val="en-US" w:eastAsia="zh-CN"/>
              </w:rPr>
              <w:t>按照部门</w:t>
            </w:r>
            <w:r>
              <w:rPr>
                <w:rFonts w:hint="default" w:ascii="宋体" w:hAnsi="宋体" w:cs="Arial"/>
                <w:color w:val="auto"/>
                <w:spacing w:val="-6"/>
                <w:sz w:val="21"/>
                <w:szCs w:val="21"/>
                <w:lang w:val="en-US" w:eastAsia="zh-CN"/>
              </w:rPr>
              <w:t>进行了分解</w:t>
            </w:r>
            <w:r>
              <w:rPr>
                <w:rFonts w:hint="eastAsia" w:ascii="宋体" w:hAnsi="宋体" w:cs="Arial"/>
                <w:color w:val="auto"/>
                <w:spacing w:val="-6"/>
                <w:sz w:val="21"/>
                <w:szCs w:val="21"/>
                <w:lang w:val="en-US" w:eastAsia="zh-CN"/>
              </w:rPr>
              <w:t>；</w:t>
            </w:r>
          </w:p>
          <w:p>
            <w:pPr>
              <w:spacing w:line="360" w:lineRule="auto"/>
              <w:ind w:firstLine="396" w:firstLineChars="200"/>
              <w:rPr>
                <w:rFonts w:hint="eastAsia"/>
                <w:color w:val="auto"/>
              </w:rPr>
            </w:pPr>
            <w:r>
              <w:rPr>
                <w:rFonts w:hint="eastAsia" w:ascii="宋体" w:hAnsi="宋体" w:cs="Arial"/>
                <w:color w:val="auto"/>
                <w:spacing w:val="-6"/>
                <w:sz w:val="21"/>
                <w:szCs w:val="21"/>
                <w:lang w:val="en-US" w:eastAsia="zh-CN"/>
              </w:rPr>
              <w:t>保留“</w:t>
            </w:r>
            <w:r>
              <w:rPr>
                <w:rFonts w:hint="default" w:ascii="宋体" w:hAnsi="宋体" w:cs="Arial"/>
                <w:color w:val="auto"/>
                <w:spacing w:val="-6"/>
                <w:sz w:val="21"/>
                <w:szCs w:val="21"/>
                <w:lang w:val="en-US" w:eastAsia="zh-CN"/>
              </w:rPr>
              <w:t>质量\环境\职业健康安全目标分解考核表</w:t>
            </w:r>
            <w:r>
              <w:rPr>
                <w:rFonts w:hint="eastAsia" w:ascii="宋体" w:hAnsi="宋体" w:cs="Arial"/>
                <w:color w:val="auto"/>
                <w:spacing w:val="-6"/>
                <w:sz w:val="21"/>
                <w:szCs w:val="21"/>
                <w:lang w:val="en-US" w:eastAsia="zh-CN"/>
              </w:rPr>
              <w:t>”，</w:t>
            </w:r>
            <w:r>
              <w:rPr>
                <w:rFonts w:hint="default" w:ascii="宋体" w:hAnsi="宋体" w:cs="Arial"/>
                <w:color w:val="auto"/>
                <w:spacing w:val="-6"/>
                <w:sz w:val="21"/>
                <w:szCs w:val="21"/>
                <w:lang w:val="en-US" w:eastAsia="zh-CN"/>
              </w:rPr>
              <w:t>2020年</w:t>
            </w:r>
            <w:r>
              <w:rPr>
                <w:rFonts w:hint="eastAsia" w:ascii="宋体" w:hAnsi="宋体" w:cs="Arial"/>
                <w:color w:val="auto"/>
                <w:spacing w:val="-6"/>
                <w:sz w:val="21"/>
                <w:szCs w:val="21"/>
                <w:lang w:val="en-US" w:eastAsia="zh-CN"/>
              </w:rPr>
              <w:t>11</w:t>
            </w:r>
            <w:r>
              <w:rPr>
                <w:rFonts w:hint="default" w:ascii="宋体" w:hAnsi="宋体" w:cs="Arial"/>
                <w:color w:val="auto"/>
                <w:spacing w:val="-6"/>
                <w:sz w:val="21"/>
                <w:szCs w:val="21"/>
                <w:lang w:val="en-US" w:eastAsia="zh-CN"/>
              </w:rPr>
              <w:t>月-</w:t>
            </w:r>
            <w:r>
              <w:rPr>
                <w:rFonts w:hint="eastAsia" w:ascii="宋体" w:hAnsi="宋体" w:cs="Arial"/>
                <w:color w:val="auto"/>
                <w:spacing w:val="-6"/>
                <w:sz w:val="21"/>
                <w:szCs w:val="21"/>
                <w:lang w:val="en-US" w:eastAsia="zh-CN"/>
              </w:rPr>
              <w:t>2021年2月</w:t>
            </w:r>
            <w:r>
              <w:rPr>
                <w:rFonts w:hint="default" w:ascii="宋体" w:hAnsi="宋体" w:cs="Arial"/>
                <w:color w:val="auto"/>
                <w:spacing w:val="-6"/>
                <w:sz w:val="21"/>
                <w:szCs w:val="21"/>
                <w:lang w:val="en-US" w:eastAsia="zh-CN"/>
              </w:rPr>
              <w:t>所有目标均已完成。</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组织的岗位、职责和权限</w:t>
            </w:r>
          </w:p>
        </w:tc>
        <w:tc>
          <w:tcPr>
            <w:tcW w:w="1175" w:type="dxa"/>
            <w:vAlign w:val="top"/>
          </w:tcPr>
          <w:p>
            <w:pPr>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QEO:5.1</w:t>
            </w:r>
          </w:p>
          <w:p>
            <w:pPr>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rPr>
              <w:t>5.3</w:t>
            </w:r>
          </w:p>
        </w:tc>
        <w:tc>
          <w:tcPr>
            <w:tcW w:w="10004" w:type="dxa"/>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cs="Arial"/>
                <w:color w:val="auto"/>
                <w:spacing w:val="-6"/>
                <w:sz w:val="21"/>
                <w:szCs w:val="21"/>
              </w:rPr>
              <w:t>最高管理者</w:t>
            </w:r>
            <w:r>
              <w:rPr>
                <w:rFonts w:hint="eastAsia" w:ascii="宋体" w:hAnsi="宋体" w:cs="Arial"/>
                <w:color w:val="auto"/>
                <w:spacing w:val="-6"/>
                <w:sz w:val="21"/>
                <w:szCs w:val="21"/>
                <w:lang w:val="en-US" w:eastAsia="zh-CN"/>
              </w:rPr>
              <w:t>在管理手册中</w:t>
            </w:r>
            <w:r>
              <w:rPr>
                <w:rFonts w:hint="eastAsia" w:ascii="宋体" w:hAnsi="宋体" w:cs="Arial"/>
                <w:color w:val="auto"/>
                <w:spacing w:val="-6"/>
                <w:sz w:val="21"/>
                <w:szCs w:val="21"/>
              </w:rPr>
              <w:t>明确了各部门和各岗位的职责和权限，以确保管理体系符合各项标准的要求，并确保各个过程获得其预期输出</w:t>
            </w:r>
            <w:r>
              <w:rPr>
                <w:rFonts w:hint="eastAsia" w:ascii="宋体" w:hAnsi="宋体" w:cs="Arial"/>
                <w:color w:val="auto"/>
                <w:spacing w:val="-6"/>
                <w:sz w:val="21"/>
                <w:szCs w:val="21"/>
                <w:lang w:eastAsia="zh-CN"/>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lang w:val="en-US" w:eastAsia="zh-CN"/>
              </w:rPr>
              <w:t>经授权的分管领导</w:t>
            </w:r>
            <w:r>
              <w:rPr>
                <w:rFonts w:hint="eastAsia" w:ascii="宋体" w:hAnsi="宋体" w:cs="Arial"/>
                <w:color w:val="auto"/>
                <w:spacing w:val="-6"/>
                <w:sz w:val="21"/>
                <w:szCs w:val="21"/>
              </w:rPr>
              <w:t>向最高管理者报告质量、环境、职业健康安全管理体系的绩效及改进机会，确保整个组织推动以顾客为关注焦点</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保持环境管理和职业健康安全管理绩效</w:t>
            </w:r>
            <w:r>
              <w:rPr>
                <w:rFonts w:hint="eastAsia" w:ascii="宋体" w:hAnsi="宋体" w:cs="Arial"/>
                <w:color w:val="auto"/>
                <w:spacing w:val="-6"/>
                <w:sz w:val="21"/>
                <w:szCs w:val="21"/>
              </w:rPr>
              <w:t>，确保在策划和实施管理体系变更时保持其完整性。</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公司设置有行政部、供销部。</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经查每个部门均有部门职责和权限，各岗位的职责和权限、任职要求在《</w:t>
            </w:r>
            <w:r>
              <w:rPr>
                <w:rFonts w:hint="eastAsia" w:ascii="宋体" w:hAnsi="宋体" w:cs="Arial"/>
                <w:color w:val="auto"/>
                <w:spacing w:val="-6"/>
                <w:sz w:val="21"/>
                <w:szCs w:val="21"/>
                <w:lang w:val="en-US" w:eastAsia="zh-CN"/>
              </w:rPr>
              <w:t>管理手册</w:t>
            </w:r>
            <w:r>
              <w:rPr>
                <w:rFonts w:hint="eastAsia" w:ascii="宋体" w:hAnsi="宋体" w:cs="Arial"/>
                <w:color w:val="auto"/>
                <w:spacing w:val="-6"/>
                <w:sz w:val="21"/>
                <w:szCs w:val="21"/>
              </w:rPr>
              <w:t>》中得到规定。</w:t>
            </w:r>
          </w:p>
          <w:p>
            <w:pPr>
              <w:adjustRightInd w:val="0"/>
              <w:snapToGrid w:val="0"/>
              <w:spacing w:line="360" w:lineRule="auto"/>
              <w:ind w:right="105" w:rightChars="50" w:firstLine="396" w:firstLineChars="200"/>
              <w:textAlignment w:val="baseline"/>
              <w:rPr>
                <w:color w:val="auto"/>
              </w:rPr>
            </w:pPr>
            <w:r>
              <w:rPr>
                <w:rFonts w:hint="eastAsia" w:ascii="宋体" w:hAnsi="宋体" w:cs="Arial"/>
                <w:color w:val="auto"/>
                <w:spacing w:val="-6"/>
                <w:sz w:val="21"/>
                <w:szCs w:val="21"/>
              </w:rPr>
              <w:t>经查问组织内的职责和权限基本得到沟通，通过文件发布、传达、会议、培训等了解有关职责和权限。同总经理交谈，对于自身职责权限比较清楚。</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资源</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w:t>
            </w:r>
            <w:r>
              <w:rPr>
                <w:rFonts w:hint="eastAsia" w:ascii="宋体" w:hAnsi="宋体" w:eastAsia="宋体" w:cs="Arial"/>
                <w:spacing w:val="-6"/>
                <w:sz w:val="21"/>
                <w:szCs w:val="21"/>
              </w:rPr>
              <w:t>7.1.1</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rPr>
              <w:t>EO</w:t>
            </w:r>
            <w:r>
              <w:rPr>
                <w:rFonts w:hint="eastAsia" w:ascii="宋体" w:hAnsi="宋体" w:eastAsia="宋体" w:cs="Arial"/>
                <w:spacing w:val="-6"/>
                <w:sz w:val="21"/>
                <w:szCs w:val="21"/>
                <w:lang w:val="en-US" w:eastAsia="zh-CN"/>
              </w:rPr>
              <w:t>:</w:t>
            </w:r>
            <w:r>
              <w:rPr>
                <w:rFonts w:hint="eastAsia" w:ascii="宋体" w:hAnsi="宋体" w:eastAsia="宋体" w:cs="Arial"/>
                <w:spacing w:val="-6"/>
                <w:sz w:val="21"/>
                <w:szCs w:val="21"/>
              </w:rPr>
              <w:t>7.1</w:t>
            </w:r>
          </w:p>
        </w:tc>
        <w:tc>
          <w:tcPr>
            <w:tcW w:w="10004" w:type="dxa"/>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cs="Arial"/>
                <w:color w:val="auto"/>
                <w:spacing w:val="-6"/>
                <w:sz w:val="21"/>
                <w:szCs w:val="21"/>
                <w:lang w:val="en-US" w:eastAsia="zh-CN"/>
              </w:rPr>
              <w:t>公司注册资金501万元；注册地位于江西省南昌市青山湖区昌安路565号洪大城东产业园1#楼202室，</w:t>
            </w:r>
            <w:r>
              <w:rPr>
                <w:rFonts w:hint="eastAsia" w:ascii="宋体" w:hAnsi="宋体" w:eastAsia="宋体" w:cs="Arial"/>
                <w:color w:val="auto"/>
                <w:spacing w:val="-6"/>
                <w:sz w:val="21"/>
                <w:szCs w:val="21"/>
              </w:rPr>
              <w:t>占地面积</w:t>
            </w:r>
            <w:r>
              <w:rPr>
                <w:rFonts w:hint="eastAsia" w:ascii="宋体" w:hAnsi="宋体" w:cs="Arial"/>
                <w:color w:val="auto"/>
                <w:spacing w:val="-6"/>
                <w:sz w:val="21"/>
                <w:szCs w:val="21"/>
                <w:lang w:val="en-US" w:eastAsia="zh-CN"/>
              </w:rPr>
              <w:t>近2000</w:t>
            </w:r>
            <w:r>
              <w:rPr>
                <w:rFonts w:hint="eastAsia" w:ascii="宋体" w:hAnsi="宋体" w:eastAsia="宋体" w:cs="Arial"/>
                <w:color w:val="auto"/>
                <w:spacing w:val="-6"/>
                <w:sz w:val="21"/>
                <w:szCs w:val="21"/>
              </w:rPr>
              <w:t>平方米。</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公司配置了各种维修包括：扳手、老虎钳、螺丝刀等；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公司现有人员10人，无资质要求；</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确认公司目前人力资源、基础设施、销售人员、财力、信息等资源均能保证。公司</w:t>
            </w:r>
            <w:r>
              <w:rPr>
                <w:rFonts w:hint="eastAsia" w:ascii="宋体" w:hAnsi="宋体" w:cs="Arial"/>
                <w:color w:val="auto"/>
                <w:spacing w:val="-6"/>
                <w:sz w:val="21"/>
                <w:szCs w:val="21"/>
                <w:lang w:val="en-US" w:eastAsia="zh-CN"/>
              </w:rPr>
              <w:t>办公区域</w:t>
            </w:r>
            <w:r>
              <w:rPr>
                <w:rFonts w:hint="default" w:ascii="宋体" w:hAnsi="宋体" w:cs="Arial"/>
                <w:color w:val="auto"/>
                <w:spacing w:val="-6"/>
                <w:sz w:val="21"/>
                <w:szCs w:val="21"/>
                <w:lang w:val="en-US" w:eastAsia="zh-CN"/>
              </w:rPr>
              <w:t>、</w:t>
            </w:r>
            <w:r>
              <w:rPr>
                <w:rFonts w:hint="eastAsia" w:ascii="宋体" w:hAnsi="宋体" w:cs="Arial"/>
                <w:color w:val="auto"/>
                <w:spacing w:val="-6"/>
                <w:sz w:val="21"/>
                <w:szCs w:val="21"/>
                <w:lang w:val="en-US" w:eastAsia="zh-CN"/>
              </w:rPr>
              <w:t>展厅等</w:t>
            </w:r>
            <w:r>
              <w:rPr>
                <w:rFonts w:hint="default" w:ascii="宋体" w:hAnsi="宋体" w:cs="Arial"/>
                <w:color w:val="auto"/>
                <w:spacing w:val="-6"/>
                <w:sz w:val="21"/>
                <w:szCs w:val="21"/>
                <w:lang w:val="en-US" w:eastAsia="zh-CN"/>
              </w:rPr>
              <w:t>现场配备了灭火器</w:t>
            </w:r>
            <w:r>
              <w:rPr>
                <w:rFonts w:hint="eastAsia" w:ascii="宋体" w:hAnsi="宋体" w:cs="Arial"/>
                <w:color w:val="auto"/>
                <w:spacing w:val="-6"/>
                <w:sz w:val="21"/>
                <w:szCs w:val="21"/>
                <w:lang w:val="en-US" w:eastAsia="zh-CN"/>
              </w:rPr>
              <w:t>、喷淋系统</w:t>
            </w:r>
            <w:r>
              <w:rPr>
                <w:rFonts w:hint="default" w:ascii="宋体" w:hAnsi="宋体" w:cs="Arial"/>
                <w:color w:val="auto"/>
                <w:spacing w:val="-6"/>
                <w:sz w:val="21"/>
                <w:szCs w:val="21"/>
                <w:lang w:val="en-US" w:eastAsia="zh-CN"/>
              </w:rPr>
              <w:t>等消防安全设备，能保证企业正常办公。</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公司财务能保证质量、环境、职业健康安全工作的开展，确保相关资金及时投入。</w:t>
            </w:r>
          </w:p>
          <w:p>
            <w:pPr>
              <w:adjustRightInd w:val="0"/>
              <w:snapToGrid w:val="0"/>
              <w:spacing w:line="360" w:lineRule="auto"/>
              <w:ind w:right="105" w:rightChars="50" w:firstLine="396" w:firstLineChars="200"/>
              <w:textAlignment w:val="baseline"/>
              <w:rPr>
                <w:rFonts w:hint="default" w:eastAsia="宋体"/>
                <w:color w:val="auto"/>
                <w:lang w:val="en-US" w:eastAsia="zh-CN"/>
              </w:rPr>
            </w:pPr>
            <w:r>
              <w:rPr>
                <w:rFonts w:hint="default" w:ascii="宋体" w:hAnsi="宋体" w:cs="Arial"/>
                <w:color w:val="auto"/>
                <w:spacing w:val="-6"/>
                <w:sz w:val="21"/>
                <w:szCs w:val="21"/>
                <w:lang w:val="en-US" w:eastAsia="zh-CN"/>
              </w:rPr>
              <w:t>基本能满足体系运行的要求。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沟通</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信息交流</w:t>
            </w:r>
          </w:p>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协商与参与</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7.4</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O:5.4</w:t>
            </w:r>
          </w:p>
        </w:tc>
        <w:tc>
          <w:tcPr>
            <w:tcW w:w="10004" w:type="dxa"/>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组织在各部门之间建立了与体系有关的信息通渠沟道，借助于会议、电话、微信、网络、口头交流等方式使全体员工达到沟通和理解。目前各部门协调一致，工作上的接口基本理顺。</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总经理定期主持经营办公例会，分析公司的发展、市场情况和体系运行是否有效，管理目标完成情况，满足顾客要求和法规程度，改进建议等内部管理存在问题等。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总经理为协商、参与提供了时间、机会、培训、资源等保障，明确了沟通、协商、参与渠道，消除了障碍和壁垒。</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管代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日常对于质量、环保、安全方面的信息主要利用会议、培训、座谈、电话、网络、收文等方式进行内外部沟通和协商。</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经交流：目前与环保、劳动、消防、安监部门的外部信息交流主要是参加会议、接收来文、电话、邮件等，均按要求予以传达和落实，沟通情况较好。</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相关人员能够适当参与并协商办理公司经营管理及安全事务等工作。</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公司经选举确定职业健康安全事务代表是</w:t>
            </w:r>
            <w:r>
              <w:rPr>
                <w:rFonts w:hint="eastAsia" w:ascii="宋体" w:hAnsi="宋体" w:cs="Arial"/>
                <w:color w:val="auto"/>
                <w:spacing w:val="-6"/>
                <w:sz w:val="21"/>
                <w:szCs w:val="21"/>
                <w:highlight w:val="none"/>
                <w:lang w:val="en-US" w:eastAsia="zh-CN"/>
              </w:rPr>
              <w:t>聂小芳</w:t>
            </w:r>
            <w:r>
              <w:rPr>
                <w:rFonts w:hint="eastAsia" w:ascii="宋体" w:hAnsi="宋体" w:eastAsia="宋体" w:cs="Arial"/>
                <w:color w:val="auto"/>
                <w:spacing w:val="-6"/>
                <w:sz w:val="21"/>
                <w:szCs w:val="21"/>
                <w:highlight w:val="none"/>
                <w:lang w:val="en-US" w:eastAsia="zh-CN"/>
              </w:rPr>
              <w:t>，</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a）负责</w:t>
            </w:r>
            <w:r>
              <w:rPr>
                <w:rFonts w:hint="eastAsia" w:ascii="宋体" w:hAnsi="宋体" w:cs="Arial"/>
                <w:color w:val="auto"/>
                <w:spacing w:val="-6"/>
                <w:sz w:val="21"/>
                <w:szCs w:val="21"/>
                <w:highlight w:val="none"/>
                <w:lang w:val="en-US" w:eastAsia="zh-CN"/>
              </w:rPr>
              <w:t>员工职业健康安全</w:t>
            </w:r>
            <w:r>
              <w:rPr>
                <w:rFonts w:hint="eastAsia" w:ascii="宋体" w:hAnsi="宋体" w:eastAsia="宋体" w:cs="Arial"/>
                <w:color w:val="auto"/>
                <w:spacing w:val="-6"/>
                <w:sz w:val="21"/>
                <w:szCs w:val="21"/>
                <w:highlight w:val="none"/>
                <w:lang w:val="en-US" w:eastAsia="zh-CN"/>
              </w:rPr>
              <w:t>日常工作；</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b）负责召开讨论有关工资、福利、劳动安全卫生、社会保险等涉及职工切身利益的会议，代表员工反映员工的建议和意见；</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c）接收、处理外部职业健康安全信息；</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d）交流各级职能部门间产生的职业健康安全信息；</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e）收集、处理和反馈员工所关心的职业健康安全问题；</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f）参与职业健康安全工作方针和程序的制定、评审和实施；</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g）参与影响作业场所人员职业健康安全的任何变化的讨论。</w:t>
            </w:r>
          </w:p>
          <w:p>
            <w:pPr>
              <w:adjustRightInd w:val="0"/>
              <w:snapToGrid w:val="0"/>
              <w:spacing w:line="360" w:lineRule="auto"/>
              <w:ind w:right="105" w:rightChars="50" w:firstLine="396" w:firstLineChars="200"/>
              <w:textAlignment w:val="baseline"/>
              <w:rPr>
                <w:color w:val="auto"/>
              </w:rPr>
            </w:pPr>
            <w:r>
              <w:rPr>
                <w:rFonts w:hint="eastAsia" w:ascii="宋体" w:hAnsi="宋体" w:eastAsia="宋体" w:cs="Arial"/>
                <w:color w:val="auto"/>
                <w:spacing w:val="-6"/>
                <w:sz w:val="21"/>
                <w:szCs w:val="21"/>
                <w:highlight w:val="none"/>
                <w:lang w:val="en-US" w:eastAsia="zh-CN"/>
              </w:rPr>
              <w:t>现有的沟通渠道和方法能满足要求。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管理评审</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9.3</w:t>
            </w:r>
          </w:p>
        </w:tc>
        <w:tc>
          <w:tcPr>
            <w:tcW w:w="10004" w:type="dxa"/>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2021年1月28日在会议室</w:t>
            </w:r>
            <w:r>
              <w:rPr>
                <w:rFonts w:hint="eastAsia" w:ascii="宋体" w:hAnsi="宋体" w:cs="Arial"/>
                <w:color w:val="auto"/>
                <w:spacing w:val="-6"/>
                <w:sz w:val="21"/>
                <w:szCs w:val="21"/>
                <w:highlight w:val="none"/>
                <w:lang w:val="en-US" w:eastAsia="zh-CN"/>
              </w:rPr>
              <w:t>总经理陈可</w:t>
            </w:r>
            <w:r>
              <w:rPr>
                <w:rFonts w:hint="eastAsia" w:ascii="宋体" w:hAnsi="宋体" w:eastAsia="宋体" w:cs="Arial"/>
                <w:color w:val="auto"/>
                <w:spacing w:val="-6"/>
                <w:sz w:val="21"/>
                <w:szCs w:val="21"/>
                <w:highlight w:val="none"/>
                <w:lang w:val="en-US" w:eastAsia="zh-CN"/>
              </w:rPr>
              <w:t>主持了管理评审。保留有管理评审计划、管理评审会议通知、评审记录、评审报告和改进措施计划等；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管理评审输入满足要求；</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管理评审结论：经评审认为本公司的质量管理体系的建立和运行是充分的、适宜的、有效的。。</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改进措施建议：2项，包括进一步组织对标准、《管理手册》、《程序文件》、法律、法规、规程和规范的学习的和培训。保留有“管理评审改进措施计划”。</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改进</w:t>
            </w:r>
          </w:p>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持续改进</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10.1</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rPr>
              <w:t>10.3</w:t>
            </w:r>
          </w:p>
        </w:tc>
        <w:tc>
          <w:tcPr>
            <w:tcW w:w="10004" w:type="dxa"/>
          </w:tcPr>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一阶段问题验证</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p>
        </w:tc>
        <w:tc>
          <w:tcPr>
            <w:tcW w:w="10004" w:type="dxa"/>
            <w:vAlign w:val="center"/>
          </w:tcPr>
          <w:p>
            <w:pPr>
              <w:ind w:firstLine="420"/>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一阶段审核时发现的问题，经此次审核现场验证已关闭，整改措施有效。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验证企业相关资质证明的有效性</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p>
        </w:tc>
        <w:tc>
          <w:tcPr>
            <w:tcW w:w="10004" w:type="dxa"/>
            <w:vAlign w:val="center"/>
          </w:tcPr>
          <w:p>
            <w:pPr>
              <w:ind w:firstLine="420"/>
              <w:rPr>
                <w:rFonts w:hint="default" w:ascii="Times New Roman" w:hAnsi="Times New Roman" w:eastAsia="宋体" w:cs="Times New Roman"/>
                <w:color w:val="auto"/>
                <w:szCs w:val="22"/>
                <w:lang w:val="en-US" w:eastAsia="zh-CN"/>
              </w:rPr>
            </w:pPr>
            <w:r>
              <w:rPr>
                <w:rFonts w:hint="eastAsia" w:ascii="宋体" w:hAnsi="宋体" w:eastAsia="宋体" w:cs="Arial"/>
                <w:color w:val="auto"/>
                <w:spacing w:val="-6"/>
                <w:sz w:val="21"/>
                <w:szCs w:val="21"/>
              </w:rPr>
              <w:t>国家企业信用信息公示系统</w:t>
            </w:r>
            <w:r>
              <w:rPr>
                <w:rFonts w:hint="eastAsia" w:ascii="宋体" w:hAnsi="宋体" w:eastAsia="宋体" w:cs="Arial"/>
                <w:color w:val="auto"/>
                <w:spacing w:val="-6"/>
                <w:sz w:val="21"/>
                <w:szCs w:val="21"/>
                <w:lang w:val="en-US" w:eastAsia="zh-CN"/>
              </w:rPr>
              <w:t>查询结果：营业执照续存，无风险警示。</w:t>
            </w:r>
            <w:r>
              <w:rPr>
                <w:rFonts w:hint="eastAsia" w:ascii="宋体" w:hAnsi="宋体" w:cs="Arial"/>
                <w:color w:val="auto"/>
                <w:spacing w:val="-6"/>
                <w:sz w:val="21"/>
                <w:szCs w:val="21"/>
                <w:lang w:val="en-US" w:eastAsia="zh-CN"/>
              </w:rPr>
              <w:t>查见</w:t>
            </w:r>
            <w:r>
              <w:rPr>
                <w:rFonts w:hint="eastAsia" w:ascii="宋体" w:hAnsi="宋体" w:eastAsia="宋体" w:cs="Arial"/>
                <w:color w:val="auto"/>
                <w:spacing w:val="-6"/>
                <w:sz w:val="21"/>
                <w:szCs w:val="21"/>
                <w:lang w:val="en-US" w:eastAsia="zh-CN"/>
              </w:rPr>
              <w:t>营业执照，有效。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顾客满意、相关方投诉及处理情况</w:t>
            </w:r>
          </w:p>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国家/地方监督抽查情况</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p>
        </w:tc>
        <w:tc>
          <w:tcPr>
            <w:tcW w:w="10004" w:type="dxa"/>
            <w:vAlign w:val="center"/>
          </w:tcPr>
          <w:p>
            <w:pPr>
              <w:spacing w:line="360" w:lineRule="auto"/>
              <w:ind w:firstLine="420"/>
              <w:rPr>
                <w:rFonts w:hint="default"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顾客满意：通过发放顾客满意度调查进行监测，2020.11，发放调查表</w:t>
            </w:r>
            <w:r>
              <w:rPr>
                <w:rFonts w:hint="eastAsia" w:cs="Times New Roman"/>
                <w:color w:val="auto"/>
                <w:szCs w:val="22"/>
                <w:lang w:val="en-US" w:eastAsia="zh-CN"/>
              </w:rPr>
              <w:t>3</w:t>
            </w:r>
            <w:r>
              <w:rPr>
                <w:rFonts w:hint="eastAsia" w:ascii="Times New Roman" w:hAnsi="Times New Roman" w:eastAsia="宋体" w:cs="Times New Roman"/>
                <w:color w:val="auto"/>
                <w:szCs w:val="22"/>
                <w:lang w:val="en-US" w:eastAsia="zh-CN"/>
              </w:rPr>
              <w:t>份，经统计分析，顾客满意度为98.2分。</w:t>
            </w:r>
          </w:p>
          <w:p>
            <w:pPr>
              <w:spacing w:line="360" w:lineRule="auto"/>
              <w:ind w:firstLine="420"/>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自公司成立以来，未受到上级主管部门有关质量、环保、职业健康安全的行政处罚。未发生相关方投诉。</w:t>
            </w:r>
          </w:p>
          <w:p>
            <w:pPr>
              <w:spacing w:line="360" w:lineRule="auto"/>
              <w:ind w:firstLine="420"/>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暂时没有国家/地方抽查情况。</w:t>
            </w:r>
          </w:p>
          <w:p>
            <w:pPr>
              <w:spacing w:line="360" w:lineRule="auto"/>
              <w:ind w:firstLine="420"/>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目前没有相关行政主管部门的检查处罚，在审核现场也未发现抽查、相关方投诉等情况。</w:t>
            </w:r>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Qaq5dYAAAAKAQAADwAA&#10;AAAAAAABACAAAAAiAAAAZHJzL2Rvd25yZXYueG1sUEsBAhQAFAAAAAgAh07iQKAm76SmAQAAKQMA&#10;AA4AAAAAAAAAAQAgAAAAJQEAAGRycy9lMm9Eb2MueG1sUEsFBgAAAAAGAAYAWQEAAD0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A82042"/>
    <w:rsid w:val="40BA733C"/>
    <w:rsid w:val="5E992A4C"/>
    <w:rsid w:val="68111886"/>
    <w:rsid w:val="6DDA7EB7"/>
    <w:rsid w:val="73D04D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uiPriority w:val="99"/>
    <w:rPr>
      <w:rFonts w:ascii="Times New Roman" w:hAnsi="Times New Roman" w:eastAsia="宋体" w:cs="Times New Roman"/>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62</TotalTime>
  <ScaleCrop>false</ScaleCrop>
  <LinksUpToDate>false</LinksUpToDate>
  <CharactersWithSpaces>101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2021-03-20T05:44:26Z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