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喻根菊      </w:t>
            </w:r>
            <w:r>
              <w:rPr>
                <w:rFonts w:hint="eastAsia"/>
                <w:sz w:val="24"/>
                <w:szCs w:val="24"/>
              </w:rPr>
              <w:t>陪同人员：袁小琴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2021.3.18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7.1.3基础设施、7.1.4过程运行环境、7.1.5监视和测量资源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本部门现有人员 2 人，经理1人、管理人员1人；</w:t>
            </w:r>
          </w:p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主要负责行政管理和人力资源管理；</w:t>
            </w:r>
          </w:p>
          <w:p>
            <w:pPr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协助做好管理评审工作、组织开展内部审核。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质量目标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公司手册明确了质量目标：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质量目标：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项目设计一次通过率≥80%；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顾客满意度90分以上。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制订了公司目标实施措施表，对目标分解到了各部门，明确了实施措施及资源，考核周期和责任人。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考核结果显示分解目标均已完成。</w:t>
            </w: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人员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能力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意识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7.1.2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7.2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查见“人力资源管理控制程序”，有效文件；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查见人员花名册，内部管理人员和设计人员15名，介绍说，另外根据需要会有一些现场工作人员；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建立有员工档案，保留了相关人员的学历证书；抽见：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熊X，毕业证、身份证、员工入职登记表等，符合。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查见2020-2021年度职工培训计划，包括有管理体系内审员培训、安全技术知识培训、岗位技能培训等7项；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抽见员工培训记录：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2020.11.15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——管理手册、程序文件；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2021.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1.26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岗位技能培训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2021.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公司管理制度培训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以上培训均保留了培训记录和考核及评价记录；基本符合。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经与设计师交流，能意识到自身的贡献、了解和掌握质量方针、不符合质量管理体系的要求、未履行合规义务的后果。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基础设施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7.1.3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查见“基础设施和工作环境控制程序”，有效文件；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查见“设备清单”，登记有用于设计用的电脑15台，打印机</w:t>
            </w:r>
            <w:r>
              <w:rPr>
                <w:rFonts w:hint="eastAsia" w:cs="Times New Roman"/>
                <w:szCs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台；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介绍说，公司运行时间不长，人员较稳定，设计电脑没有新增购置，也没有报废；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提供“2021年度设备维修计划”，策划了每季度进行维护，但没有明确维护的内容，交流。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介绍说，设备维护主要是设计用的电脑杀毒、升级和备份；介绍说，杀毒和升级由设计师自主完成；记录由电脑自动生成。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介绍说，电脑出现故障时，由电脑供应商提供售后服务，一般报修通过电话进行，故障排除后通过试运行进行验收。未保留报修和验收记录，交流。基本符合。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过程运行环境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7.1.4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现场观察，办公面积约400平方米，分区设置，配置的办公桌符合人机工程要求，干净整洁，照明、通风良好；配置有空调，温度适宜；按要求设置有安全消防设施；有少量绿植；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员工关系和谐，墙面张贴有文化宣传活动的资料，与设计人员交流时，情绪愉快。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7.1.5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编制有“监视和测量资源控制程序”，有效文件；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查见“检测设备清单”，登记有手持激光测距仪、锡工牌游标卡尺等；明确了型号、数量等信息；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抽见上述设备的检测证书，深圳华科计量检测技术有限公司出具，均在有效期内：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手持激光测距仪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——结论：所校准项目符合技术要求；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游标卡尺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——结论：所校准项目符合技术要求。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以上设备放置在原厂配置的工具盒内，存放在办公室。介绍说，使用过程中能小心使用，保证测量精度。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组织知识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7.1.6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的组织知识主要包括：收集的各种知识、法律法规以及转换形成各种规章制度、设计规范等，积累的管理制度、体系文件、支持性文件、各种记录表单，以前的设计资料、外部学习的资料、从顾客或外部供方收集的知识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公司把组织知识用于指导公司的日常工作和管理。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形成文件的信息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依据GB/T19001-2016/ISO 9001：2015标准，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策划了公司的管理体系文件，包括以下层次：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《管理手册》，包含管理方针、目标，于2020年10月10日发布实施，明确了管理体系应用范围，识别了公司体系过程并对各过程控制方法进行了明确。对编写的程序文件进行了简要描述。手册按照管理手册说明及程序文件“文件化信息管理控制程序”进行管理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——程序文件（包括标准要求的程序）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——三级作业文件，例如管理制度、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设计作业指导书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——成文信息清单。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文件化管理体系目前基本满足要求。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管理体系文件经过总经理审批实施发布，经评审，目前文件和目录均适用。符合要求。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——编制《文件化信息管理控制程序》，内容符合基本标准要求。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——外来文件：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对外来文件进行了识别，建立有外来文件清单，收集了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质量管理体系基础和术语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中华人民共和国劳动合同法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中华人民共和国产品质量法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中华人民共和国计量法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、房屋建筑室内装饰装修制图标准、会展建筑电气设计规范等，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lang w:val="en-US" w:eastAsia="zh-CN"/>
              </w:rPr>
              <w:t>未收集消防法</w:t>
            </w:r>
            <w:r>
              <w:rPr>
                <w:rFonts w:hint="eastAsia" w:cs="Times New Roman"/>
                <w:color w:val="FF0000"/>
                <w:szCs w:val="22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抽查：受控文件清单、管理评审计划、培训计划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、管理手册、程序文件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电子文件储存在电脑中，定期进行物理备份，备份硬盘存放在文件柜中，交流。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成文信息由各部门负责保存，以便查阅。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经查，基本符合标准要求。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监测、分析和评价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公司在管理手册中明确了监视测量的要求，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制定了《顾客满意度测量控制程序》、《管理评审控制程序》和《内部审核控制程序》等程序。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行政部保留“目标考核表”，对各部门完成目标情况进行监测；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介绍说，每月各部门进行绩效监测，召开月度会议进行沟通；抽见：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设计部月度总结表，2020.12，对各项目进行统计分析；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对各项目的监测通过项目进度表的形式进行，查见：项目进度表，显示对每个项目的接单时间、项目名称、测量日期、平面图确认、效果图确认等进行统计分析。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内部审核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查见“内审控制程序”，有效文件，无变化；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公司2021年1月20日开展了内审，内审覆盖全部门、全条款；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保留了内审计划、检查表、内审报告、不符合项报告；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本次内审开具不符合报告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份，已整改，有整改验收记录；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内审结论为：管理体系运行基本有效，基本符合标准要求。在执行管理体系文件的过程中仍存在着问题，还有待于持续改进。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不合格和纠正措施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10.2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公司建立“不合格品控制程序”、“纠正措施控制程序”，有效文件。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公司成立以来没有发生重大质量事故和投诉处罚。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基本符合标准规定要求。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31485"/>
    <w:rsid w:val="346F73DB"/>
    <w:rsid w:val="4E7D2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28</TotalTime>
  <ScaleCrop>false</ScaleCrop>
  <LinksUpToDate>false</LinksUpToDate>
  <CharactersWithSpaces>101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2021-03-18T08:23:58Z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