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drawing>
          <wp:inline distT="0" distB="0" distL="114300" distR="114300">
            <wp:extent cx="6465570" cy="9181465"/>
            <wp:effectExtent l="0" t="0" r="1143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5570" cy="918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十堰捷恒工贸有限公司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十堰市汉江南路34号(制管厂办公楼)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刘为刚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0719-8210869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442000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0540-2019-Q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初审，补充现场审核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补充现场审核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0"/>
              </w:rPr>
              <w:t>：验证组织管理体系的建立、实施运行的符合性及有效性，以确定是否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继续</w:t>
            </w:r>
            <w:r>
              <w:rPr>
                <w:rFonts w:hint="eastAsia" w:ascii="宋体" w:hAnsi="宋体"/>
                <w:b/>
                <w:bCs/>
                <w:sz w:val="20"/>
              </w:rPr>
              <w:t>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冲压件、齿轮的销售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2021年03月20日 下午至2021年03月20日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91515" cy="222885"/>
                  <wp:effectExtent l="0" t="0" r="6985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650"/>
        <w:gridCol w:w="1000"/>
        <w:gridCol w:w="4010"/>
        <w:gridCol w:w="1356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56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3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1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13：00-13：15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40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3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1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2021.3.20</w:t>
            </w: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13：15-14：00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4010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企业基本信息（资质验证/范围再确认 /初审远程问题验证/投诉或事故/ 政府主管部门抽查情况）；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4.1-6.3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1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14：00-15：00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010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目标实现情况；部门职责的落实，人员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内部审核实施及有效性；分析与评价</w:t>
            </w:r>
          </w:p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7.1.2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9.1.1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9.2</w:t>
            </w:r>
          </w:p>
        </w:tc>
        <w:tc>
          <w:tcPr>
            <w:tcW w:w="131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15：00-16：45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4010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基础设施配置与管理；过程运行环境管理；监视和测量设备；运行策划；与产品和服务有关要求的确定；外部提供过程、产品及产品的控制；生产和服务提供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产品和服务的放行；不合格输出的控制/纠正措施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顾客满意；</w:t>
            </w:r>
          </w:p>
        </w:tc>
        <w:tc>
          <w:tcPr>
            <w:tcW w:w="1356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7.1.3- 7.1.5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8.1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8.2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8.6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9.1.2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31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16：45-17：00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401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5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1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ISC-244880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021AC"/>
    <w:rsid w:val="51DB1ECA"/>
    <w:rsid w:val="62FD5F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2021-03-26T00:02:54Z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9D6D0334832C4174B6CBD15B8B178B9D</vt:lpwstr>
  </property>
</Properties>
</file>