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十堰风向汽车零部件有限公司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敖金萍</w:t>
            </w:r>
          </w:p>
        </w:tc>
        <w:tc>
          <w:tcPr>
            <w:tcW w:w="992" w:type="dxa"/>
            <w:vAlign w:val="center"/>
          </w:tcPr>
          <w:p>
            <w:pPr>
              <w:rPr>
                <w:rFonts w:hint="eastAsia" w:eastAsia="宋体"/>
                <w:b/>
                <w:color w:val="000000" w:themeColor="text1"/>
                <w:lang w:val="en-US" w:eastAsia="zh-CN"/>
              </w:rPr>
            </w:pPr>
            <w:r>
              <w:rPr>
                <w:rFonts w:hint="eastAsia"/>
                <w:b/>
                <w:color w:val="000000" w:themeColor="text1"/>
                <w:lang w:val="en-US" w:eastAsia="zh-CN"/>
              </w:rPr>
              <w:t>女</w:t>
            </w:r>
          </w:p>
        </w:tc>
        <w:tc>
          <w:tcPr>
            <w:tcW w:w="1216" w:type="dxa"/>
            <w:vAlign w:val="center"/>
          </w:tcPr>
          <w:p>
            <w:pPr>
              <w:rPr>
                <w:rFonts w:hint="eastAsia" w:eastAsia="宋体"/>
                <w:b/>
                <w:color w:val="000000" w:themeColor="text1"/>
                <w:lang w:val="en-US" w:eastAsia="zh-CN"/>
              </w:rPr>
            </w:pPr>
            <w:r>
              <w:rPr>
                <w:rFonts w:hint="eastAsia"/>
                <w:b/>
                <w:color w:val="000000" w:themeColor="text1"/>
                <w:lang w:val="en-US" w:eastAsia="zh-CN"/>
              </w:rPr>
              <w:t>向导</w:t>
            </w:r>
          </w:p>
        </w:tc>
        <w:tc>
          <w:tcPr>
            <w:tcW w:w="3478" w:type="dxa"/>
            <w:gridSpan w:val="3"/>
            <w:vAlign w:val="center"/>
          </w:tcPr>
          <w:p>
            <w:pPr>
              <w:rPr>
                <w:b/>
                <w:color w:val="000000" w:themeColor="text1"/>
              </w:rPr>
            </w:pPr>
            <w:r>
              <w:rPr>
                <w:rFonts w:ascii="宋体" w:hAnsi="宋体"/>
                <w:b/>
                <w:color w:val="000000" w:themeColor="text1"/>
                <w:sz w:val="20"/>
                <w:szCs w:val="20"/>
              </w:rPr>
              <w:t>十堰风向汽车零部件有限公司</w:t>
            </w: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hint="eastAsia" w:ascii="宋体" w:hAnsi="宋体" w:eastAsia="宋体"/>
                <w:b/>
                <w:color w:val="000000" w:themeColor="text1"/>
                <w:sz w:val="20"/>
                <w:szCs w:val="20"/>
                <w:lang w:val="en-US" w:eastAsia="zh-CN"/>
              </w:rPr>
            </w:pPr>
            <w:r>
              <w:rPr>
                <w:rFonts w:hint="eastAsia" w:ascii="宋体" w:cs="宋体" w:hAnsiTheme="minorHAnsi"/>
                <w:color w:val="000000" w:themeColor="text1"/>
                <w:kern w:val="0"/>
                <w:sz w:val="20"/>
                <w:szCs w:val="20"/>
              </w:rPr>
              <w:t>第二阶段审核：</w:t>
            </w:r>
            <w:r>
              <w:rPr>
                <w:rFonts w:hint="eastAsia" w:ascii="宋体" w:cs="宋体" w:hAnsiTheme="minorHAnsi"/>
                <w:color w:val="000000" w:themeColor="text1"/>
                <w:kern w:val="0"/>
                <w:sz w:val="20"/>
                <w:szCs w:val="20"/>
                <w:lang w:val="en-US" w:eastAsia="zh-CN"/>
              </w:rPr>
              <w:t>现场补充审核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w:t>
            </w:r>
            <w:r>
              <w:rPr>
                <w:rFonts w:hint="eastAsia" w:ascii="宋体" w:cs="宋体" w:hAnsiTheme="minorHAnsi"/>
                <w:color w:val="000000" w:themeColor="text1"/>
                <w:kern w:val="0"/>
                <w:sz w:val="20"/>
                <w:szCs w:val="20"/>
                <w:lang w:val="en-US" w:eastAsia="zh-CN"/>
              </w:rPr>
              <w:t>继续</w:t>
            </w:r>
            <w:r>
              <w:rPr>
                <w:rFonts w:hint="eastAsia" w:ascii="宋体" w:cs="宋体" w:hAnsiTheme="minorHAnsi"/>
                <w:color w:val="000000" w:themeColor="text1"/>
                <w:kern w:val="0"/>
                <w:sz w:val="20"/>
                <w:szCs w:val="20"/>
              </w:rPr>
              <w:t>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ind w:firstLine="2349" w:firstLineChars="90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十堰风向汽车零部件有限公司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湖北省十堰市张湾区红卫街道工业新区捷达路16号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442000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湖北省十堰市张湾区红卫街道工业新区捷达路16号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442000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13997808718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一般机械零部件的加工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2020-07-03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left"/>
              <w:rPr>
                <w:rFonts w:ascii="宋体" w:hAnsi="宋体"/>
                <w:b/>
                <w:color w:val="000000" w:themeColor="text1"/>
                <w:spacing w:val="-20"/>
                <w:sz w:val="20"/>
                <w:szCs w:val="20"/>
                <w:u w:val="single"/>
              </w:rPr>
            </w:pPr>
            <w:r>
              <w:rPr>
                <w:rFonts w:hint="eastAsia" w:ascii="楷体" w:hAnsi="楷体" w:eastAsia="楷体" w:cs="楷体"/>
                <w:sz w:val="21"/>
                <w:szCs w:val="21"/>
              </w:rPr>
              <w:t>4.1-6.3</w:t>
            </w:r>
            <w:r>
              <w:rPr>
                <w:rFonts w:hint="eastAsia" w:ascii="楷体" w:hAnsi="楷体" w:eastAsia="楷体" w:cs="楷体"/>
                <w:sz w:val="21"/>
                <w:szCs w:val="21"/>
                <w:lang w:val="en-US" w:eastAsia="zh-CN"/>
              </w:rPr>
              <w:t>/</w:t>
            </w:r>
            <w:r>
              <w:rPr>
                <w:rFonts w:hint="eastAsia" w:ascii="楷体" w:hAnsi="楷体" w:eastAsia="楷体" w:cs="楷体"/>
                <w:sz w:val="21"/>
                <w:szCs w:val="21"/>
              </w:rPr>
              <w:t>7.1.1</w:t>
            </w:r>
            <w:r>
              <w:rPr>
                <w:rFonts w:hint="eastAsia" w:ascii="楷体" w:hAnsi="楷体" w:eastAsia="楷体" w:cs="楷体"/>
                <w:sz w:val="21"/>
                <w:szCs w:val="21"/>
                <w:lang w:val="en-US" w:eastAsia="zh-CN"/>
              </w:rPr>
              <w:t>/</w:t>
            </w:r>
            <w:r>
              <w:rPr>
                <w:rFonts w:hint="eastAsia" w:ascii="楷体" w:hAnsi="楷体" w:eastAsia="楷体" w:cs="楷体"/>
                <w:sz w:val="21"/>
                <w:szCs w:val="21"/>
              </w:rPr>
              <w:t>7.4</w:t>
            </w:r>
            <w:r>
              <w:rPr>
                <w:rFonts w:hint="eastAsia" w:ascii="楷体" w:hAnsi="楷体" w:eastAsia="楷体" w:cs="楷体"/>
                <w:sz w:val="21"/>
                <w:szCs w:val="21"/>
                <w:lang w:val="en-US" w:eastAsia="zh-CN"/>
              </w:rPr>
              <w:t>/</w:t>
            </w:r>
            <w:r>
              <w:rPr>
                <w:rFonts w:hint="eastAsia" w:ascii="楷体" w:hAnsi="楷体" w:eastAsia="楷体" w:cs="楷体"/>
                <w:sz w:val="21"/>
                <w:szCs w:val="21"/>
              </w:rPr>
              <w:t>9.1</w:t>
            </w:r>
            <w:r>
              <w:rPr>
                <w:rFonts w:hint="eastAsia" w:ascii="楷体" w:hAnsi="楷体" w:eastAsia="楷体" w:cs="楷体"/>
                <w:sz w:val="21"/>
                <w:szCs w:val="21"/>
                <w:lang w:val="en-US" w:eastAsia="zh-CN"/>
              </w:rPr>
              <w:t>.</w:t>
            </w:r>
            <w:r>
              <w:rPr>
                <w:rFonts w:hint="eastAsia" w:ascii="楷体" w:hAnsi="楷体" w:eastAsia="楷体" w:cs="楷体"/>
                <w:sz w:val="21"/>
                <w:szCs w:val="21"/>
              </w:rPr>
              <w:t>1</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7.1.2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9.1.1 </w:t>
            </w:r>
            <w:r>
              <w:rPr>
                <w:rFonts w:hint="eastAsia" w:ascii="楷体" w:hAnsi="楷体" w:eastAsia="楷体" w:cs="楷体"/>
                <w:sz w:val="21"/>
                <w:szCs w:val="21"/>
                <w:lang w:val="en-US" w:eastAsia="zh-CN"/>
              </w:rPr>
              <w:t>/</w:t>
            </w:r>
            <w:r>
              <w:rPr>
                <w:rFonts w:hint="eastAsia" w:ascii="楷体" w:hAnsi="楷体" w:eastAsia="楷体" w:cs="楷体"/>
                <w:sz w:val="21"/>
                <w:szCs w:val="21"/>
              </w:rPr>
              <w:t>9.1.3</w:t>
            </w:r>
            <w:r>
              <w:rPr>
                <w:rFonts w:hint="eastAsia" w:ascii="楷体" w:hAnsi="楷体" w:eastAsia="楷体" w:cs="楷体"/>
                <w:sz w:val="21"/>
                <w:szCs w:val="21"/>
                <w:lang w:val="en-US" w:eastAsia="zh-CN"/>
              </w:rPr>
              <w:t>/</w:t>
            </w:r>
            <w:r>
              <w:rPr>
                <w:rFonts w:hint="eastAsia" w:ascii="楷体" w:hAnsi="楷体" w:eastAsia="楷体" w:cs="楷体"/>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6.2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8.2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8.4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6804" w:type="dxa"/>
          </w:tcPr>
          <w:p>
            <w:pPr>
              <w:jc w:val="center"/>
              <w:rPr>
                <w:rFonts w:ascii="宋体" w:hAnsi="宋体"/>
                <w:b/>
                <w:color w:val="000000" w:themeColor="text1"/>
                <w:spacing w:val="-20"/>
                <w:sz w:val="20"/>
                <w:szCs w:val="20"/>
                <w:u w:val="single"/>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7.1.3-7.1.5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8.1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8.5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8.6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8.7 </w:t>
            </w:r>
            <w:r>
              <w:rPr>
                <w:rFonts w:hint="eastAsia" w:ascii="楷体" w:hAnsi="楷体" w:eastAsia="楷体" w:cs="楷体"/>
                <w:sz w:val="21"/>
                <w:szCs w:val="21"/>
                <w:lang w:val="en-US" w:eastAsia="zh-CN"/>
              </w:rPr>
              <w:t>/</w:t>
            </w:r>
            <w:r>
              <w:rPr>
                <w:rFonts w:hint="eastAsia" w:ascii="楷体" w:hAnsi="楷体" w:eastAsia="楷体" w:cs="楷体"/>
                <w:sz w:val="21"/>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一般机械零部件的加工</w:t>
            </w:r>
          </w:p>
        </w:tc>
        <w:tc>
          <w:tcPr>
            <w:tcW w:w="2519" w:type="dxa"/>
            <w:vAlign w:val="top"/>
          </w:tcPr>
          <w:p>
            <w:pPr>
              <w:rPr>
                <w:rFonts w:hint="default" w:ascii="Times New Roman" w:hAnsi="Times New Roman" w:eastAsia="宋体" w:cs="Times New Roman"/>
                <w:b/>
                <w:color w:val="000000" w:themeColor="text1"/>
                <w:kern w:val="2"/>
                <w:sz w:val="20"/>
                <w:szCs w:val="20"/>
                <w:lang w:val="en-US" w:eastAsia="zh-CN" w:bidi="ar-SA"/>
              </w:rPr>
            </w:pPr>
            <w:r>
              <w:rPr>
                <w:rFonts w:hint="eastAsia" w:cs="Times New Roman"/>
                <w:b/>
                <w:color w:val="000000" w:themeColor="text1"/>
                <w:kern w:val="2"/>
                <w:sz w:val="20"/>
                <w:szCs w:val="20"/>
                <w:lang w:val="en-US" w:eastAsia="zh-CN" w:bidi="ar-SA"/>
              </w:rPr>
              <w:t>多种</w:t>
            </w:r>
          </w:p>
        </w:tc>
        <w:tc>
          <w:tcPr>
            <w:tcW w:w="1843" w:type="dxa"/>
            <w:vAlign w:val="top"/>
          </w:tcPr>
          <w:p>
            <w:pPr>
              <w:rPr>
                <w:rFonts w:hint="default" w:ascii="Times New Roman" w:hAnsi="Times New Roman" w:eastAsia="宋体" w:cs="Times New Roman"/>
                <w:b/>
                <w:color w:val="000000" w:themeColor="text1"/>
                <w:kern w:val="2"/>
                <w:sz w:val="20"/>
                <w:szCs w:val="20"/>
                <w:lang w:val="en-US" w:eastAsia="zh-CN" w:bidi="ar-SA"/>
              </w:rPr>
            </w:pPr>
            <w:r>
              <w:rPr>
                <w:rFonts w:hint="eastAsia" w:cs="Times New Roman"/>
                <w:b/>
                <w:color w:val="000000" w:themeColor="text1"/>
                <w:kern w:val="2"/>
                <w:sz w:val="20"/>
                <w:szCs w:val="20"/>
                <w:lang w:val="en-US" w:eastAsia="zh-CN" w:bidi="ar-SA"/>
              </w:rPr>
              <w:t>多种</w:t>
            </w:r>
          </w:p>
        </w:tc>
        <w:tc>
          <w:tcPr>
            <w:tcW w:w="3543" w:type="dxa"/>
            <w:vAlign w:val="top"/>
          </w:tcPr>
          <w:p>
            <w:pPr>
              <w:rPr>
                <w:rFonts w:ascii="Times New Roman" w:hAnsi="Times New Roman" w:eastAsia="宋体" w:cs="Times New Roman"/>
                <w:b/>
                <w:kern w:val="2"/>
                <w:sz w:val="20"/>
                <w:szCs w:val="20"/>
                <w:lang w:val="en-US" w:eastAsia="zh-CN" w:bidi="ar-SA"/>
              </w:rPr>
            </w:pPr>
            <w:r>
              <w:rPr>
                <w:rFonts w:hint="eastAsia"/>
                <w:b/>
                <w:sz w:val="20"/>
                <w:szCs w:val="20"/>
              </w:rPr>
              <w:t>GB/T1804-2000一般公差 未注公差的线性和角度尺寸的公差、ZBN J50008.1-1988金属切削机床机械加工件 通用技术条件、形位公差GB/T1184-K及客户要求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3</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管理层识别、确定了与战略、目标相关、影响实现管理体系预期结果的内、外部因素，并且实时关注、评审不断变化的内外部信息。</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提供组织内外部环境识别表</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外部环境：国际环境、.社会环境、政治环境、经济环境、空气质量环境等</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内部环境；企业文化、公司价值观、知识积累、绩效等</w:t>
            </w:r>
          </w:p>
          <w:p>
            <w:pPr>
              <w:spacing w:line="240" w:lineRule="exact"/>
              <w:rPr>
                <w:b/>
                <w:color w:val="000000" w:themeColor="text1"/>
                <w:sz w:val="20"/>
                <w:szCs w:val="20"/>
              </w:rPr>
            </w:pPr>
            <w:r>
              <w:rPr>
                <w:rFonts w:hint="eastAsia" w:ascii="楷体" w:hAnsi="楷体" w:eastAsia="楷体" w:cs="楷体"/>
                <w:bCs/>
                <w:color w:val="000000" w:themeColor="text1"/>
                <w:sz w:val="21"/>
                <w:szCs w:val="21"/>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公司识别并确定了影响公司提供产品和服务能力的利益相关方：顾客、员工、供应商等。</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spacing w:line="240" w:lineRule="exact"/>
              <w:rPr>
                <w:b/>
                <w:color w:val="000000" w:themeColor="text1"/>
                <w:sz w:val="20"/>
                <w:szCs w:val="20"/>
              </w:rPr>
            </w:pPr>
            <w:r>
              <w:rPr>
                <w:rFonts w:hint="eastAsia" w:ascii="楷体" w:hAnsi="楷体" w:eastAsia="楷体" w:cs="楷体"/>
                <w:bCs/>
                <w:color w:val="000000" w:themeColor="text1"/>
                <w:sz w:val="21"/>
                <w:szCs w:val="21"/>
              </w:rPr>
              <w:t>相关方进行监视和评审的方式方法：公司通过走访、会议、客户要求等方式对相关方的信息进行监视和评审。抽相关方列表，相关方需求识别充分，目前未发生相关方投诉事件。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企业策划并制定了质量方针：“诚信为本，以质量求生存，科技创新，追求行业领先水平”</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方针在质量手册中予以规定，经总经理批准实施。</w:t>
            </w:r>
          </w:p>
          <w:p>
            <w:pPr>
              <w:spacing w:line="240" w:lineRule="exact"/>
              <w:rPr>
                <w:b/>
                <w:color w:val="000000" w:themeColor="text1"/>
              </w:rPr>
            </w:pPr>
            <w:r>
              <w:rPr>
                <w:rFonts w:hint="eastAsia" w:ascii="楷体" w:hAnsi="楷体" w:eastAsia="楷体" w:cs="楷体"/>
                <w:bCs/>
                <w:color w:val="000000" w:themeColor="text1"/>
                <w:sz w:val="21"/>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通过内审、管评、目标考核等来评价风险和机遇应对措施的有效性。</w:t>
            </w:r>
          </w:p>
          <w:p>
            <w:pPr>
              <w:numPr>
                <w:numId w:val="0"/>
              </w:numPr>
              <w:spacing w:line="240" w:lineRule="exact"/>
              <w:ind w:leftChars="0"/>
              <w:rPr>
                <w:rFonts w:hint="eastAsia"/>
                <w:b/>
                <w:color w:val="000000" w:themeColor="text1"/>
              </w:rPr>
            </w:pPr>
            <w:r>
              <w:rPr>
                <w:rFonts w:hint="eastAsia" w:ascii="楷体" w:hAnsi="楷体" w:eastAsia="楷体" w:cs="楷体"/>
                <w:bCs/>
                <w:color w:val="000000" w:themeColor="text1"/>
                <w:sz w:val="21"/>
                <w:szCs w:val="21"/>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质量管理体系过程有：策划过程、生产和服务过程、放行过程等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生产过程控制、放行控制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：无</w:t>
            </w:r>
          </w:p>
          <w:p>
            <w:pPr>
              <w:tabs>
                <w:tab w:val="left" w:pos="540"/>
              </w:tabs>
              <w:spacing w:line="300" w:lineRule="exact"/>
              <w:ind w:left="21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楷体" w:hAnsi="楷体" w:eastAsia="楷体" w:cs="楷体"/>
                <w:color w:val="000000" w:themeColor="text1"/>
                <w:sz w:val="21"/>
                <w:szCs w:val="21"/>
              </w:rPr>
              <w:t xml:space="preserve">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 </w:t>
            </w:r>
            <w:r>
              <w:rPr>
                <w:rFonts w:hint="eastAsia" w:ascii="楷体" w:hAnsi="楷体" w:eastAsia="楷体" w:cs="楷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公司总的质量目标为：</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产品一次交验合格率&gt;99% (废品率&lt;1%) （本次合格产品数量/一次交验产品总量*100%）</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顾客满意率&gt;95%（顾客满意分数总和/总份数*100%）</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合同履约率100%（周期已履约合同数/周期所签合同总数*100%）</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2020年7月至2020年1</w:t>
            </w:r>
            <w:r>
              <w:rPr>
                <w:rFonts w:hint="eastAsia" w:ascii="楷体" w:hAnsi="楷体" w:eastAsia="楷体" w:cs="楷体"/>
                <w:bCs/>
                <w:color w:val="000000" w:themeColor="text1"/>
                <w:sz w:val="21"/>
                <w:szCs w:val="21"/>
                <w:lang w:val="en-US" w:eastAsia="zh-CN"/>
              </w:rPr>
              <w:t>2</w:t>
            </w:r>
            <w:r>
              <w:rPr>
                <w:rFonts w:hint="eastAsia" w:ascii="楷体" w:hAnsi="楷体" w:eastAsia="楷体" w:cs="楷体"/>
                <w:bCs/>
                <w:color w:val="000000" w:themeColor="text1"/>
                <w:sz w:val="21"/>
                <w:szCs w:val="21"/>
              </w:rPr>
              <w:t>月目标完成情况：均完成100%；</w:t>
            </w:r>
          </w:p>
          <w:p>
            <w:pPr>
              <w:spacing w:line="240" w:lineRule="exact"/>
              <w:rPr>
                <w:rFonts w:ascii="宋体" w:hAnsi="宋体"/>
                <w:b/>
                <w:color w:val="000000" w:themeColor="text1"/>
              </w:rPr>
            </w:pPr>
            <w:r>
              <w:rPr>
                <w:rFonts w:hint="eastAsia" w:ascii="楷体" w:hAnsi="楷体" w:eastAsia="楷体" w:cs="楷体"/>
                <w:bCs/>
                <w:color w:val="000000" w:themeColor="text1"/>
                <w:sz w:val="21"/>
                <w:szCs w:val="21"/>
              </w:rPr>
              <w:t>公司的质量目标已分解到相关职能部门，规定了计算方法及统计周期，符合要求</w:t>
            </w:r>
            <w:r>
              <w:rPr>
                <w:rFonts w:hint="eastAsia" w:ascii="宋体" w:hAnsi="宋体"/>
                <w:bCs/>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执行公司《文件控制程序》《记录控制程序》</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公司质量管理体系文件包括：质量手册、程序文件、作业文件、外来文件、记录等。文件均受控。</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查：公司质量《管理手册》为依据GB/T19001-2016版编制，于2020年7月3日发布实施，目前版本为A/0版。</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由管理者代表审核，总经理批准后发布。</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 xml:space="preserve">查：“文件发放、回收记录”，内容涵盖：序号、文件名称、编号、发放部门、发放数量、回收日期等。 </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质量手册、程序文件、工序作业指导书、检验作业指导书已发放各部门，有签收部门确认。</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规定对所有失效文件，从使用场所回收并填写《文件销毁申请单》经总经理批准后要加盖“作废”印章，统一销毁。</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文件更改采用局部修改、换页、换版等方式。</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查：有“外来文件清单”记录了《产品质量法》等外来文件，控制分发，有专人负责。</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已建立“记录清单”内容含盖：序号、记录名称、记录编号、保存期限等。</w:t>
            </w:r>
          </w:p>
          <w:p>
            <w:pPr>
              <w:tabs>
                <w:tab w:val="left" w:pos="540"/>
              </w:tabs>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现场查看，文件、记录保持清晰，保存完好。</w:t>
            </w:r>
          </w:p>
          <w:p>
            <w:pPr>
              <w:tabs>
                <w:tab w:val="left" w:pos="540"/>
              </w:tabs>
              <w:spacing w:line="240" w:lineRule="exact"/>
              <w:rPr>
                <w:rFonts w:ascii="宋体" w:hAnsi="宋体"/>
                <w:b/>
                <w:color w:val="000000" w:themeColor="text1"/>
                <w:sz w:val="20"/>
                <w:szCs w:val="20"/>
              </w:rPr>
            </w:pPr>
            <w:r>
              <w:rPr>
                <w:rFonts w:hint="eastAsia" w:ascii="楷体" w:hAnsi="楷体" w:eastAsia="楷体" w:cs="楷体"/>
                <w:bCs/>
                <w:color w:val="000000" w:themeColor="text1"/>
                <w:sz w:val="21"/>
                <w:szCs w:val="21"/>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rPr>
                <w:rFonts w:hint="eastAsia" w:ascii="楷体" w:hAnsi="楷体" w:eastAsia="楷体" w:cs="楷体"/>
                <w:sz w:val="21"/>
                <w:szCs w:val="21"/>
                <w:lang w:eastAsia="zh-CN"/>
              </w:rPr>
            </w:pPr>
            <w:r>
              <w:rPr>
                <w:rFonts w:hint="eastAsia" w:ascii="楷体" w:hAnsi="楷体" w:eastAsia="楷体" w:cs="楷体"/>
                <w:sz w:val="21"/>
                <w:szCs w:val="21"/>
              </w:rPr>
              <w:t>●已识别与QMS相关人员：各部门负责人、生产人员、质检人员、销售、内审员，提供了岗位职责与任职要求。</w:t>
            </w:r>
            <w:r>
              <w:rPr>
                <w:rFonts w:hint="eastAsia" w:ascii="楷体" w:hAnsi="楷体" w:eastAsia="楷体" w:cs="楷体"/>
                <w:sz w:val="21"/>
                <w:szCs w:val="21"/>
                <w:lang w:val="en-US" w:eastAsia="zh-CN"/>
              </w:rPr>
              <w:t xml:space="preserve"> </w:t>
            </w:r>
          </w:p>
          <w:p>
            <w:pPr>
              <w:spacing w:line="300" w:lineRule="exact"/>
              <w:rPr>
                <w:rFonts w:ascii="宋体" w:hAnsi="宋体"/>
                <w:b/>
                <w:color w:val="000000" w:themeColor="text1"/>
                <w:sz w:val="20"/>
                <w:szCs w:val="20"/>
              </w:rPr>
            </w:pPr>
            <w:r>
              <w:rPr>
                <w:rFonts w:hint="eastAsia" w:ascii="楷体" w:hAnsi="楷体" w:eastAsia="楷体" w:cs="楷体"/>
                <w:sz w:val="21"/>
                <w:szCs w:val="21"/>
              </w:rPr>
              <w:t>●企业</w:t>
            </w:r>
            <w:r>
              <w:rPr>
                <w:rFonts w:hint="eastAsia" w:ascii="楷体" w:hAnsi="楷体" w:eastAsia="楷体" w:cs="楷体"/>
                <w:sz w:val="21"/>
                <w:szCs w:val="21"/>
                <w:lang w:val="en-US" w:eastAsia="zh-CN"/>
              </w:rPr>
              <w:t>目前在职员工15人 ，可以满足企业的人员需求。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rPr>
                <w:rFonts w:hint="eastAsia" w:ascii="楷体" w:hAnsi="楷体" w:eastAsia="楷体" w:cs="楷体"/>
                <w:sz w:val="21"/>
                <w:szCs w:val="21"/>
              </w:rPr>
            </w:pPr>
            <w:r>
              <w:rPr>
                <w:rFonts w:hint="eastAsia" w:ascii="楷体" w:hAnsi="楷体" w:eastAsia="楷体" w:cs="楷体"/>
                <w:sz w:val="21"/>
                <w:szCs w:val="21"/>
              </w:rPr>
              <w:t>●提供了《生产设备台账》，记录了设备名称、编号、数量等内容。</w:t>
            </w:r>
          </w:p>
          <w:p>
            <w:pPr>
              <w:rPr>
                <w:rFonts w:hint="eastAsia" w:ascii="楷体" w:hAnsi="楷体" w:eastAsia="楷体" w:cs="楷体"/>
                <w:sz w:val="21"/>
                <w:szCs w:val="21"/>
              </w:rPr>
            </w:pPr>
            <w:r>
              <w:rPr>
                <w:rFonts w:hint="eastAsia" w:ascii="楷体" w:hAnsi="楷体" w:eastAsia="楷体" w:cs="楷体"/>
                <w:sz w:val="21"/>
                <w:szCs w:val="21"/>
              </w:rPr>
              <w:t>●主要办公设备有台式电脑、打印机等</w:t>
            </w:r>
          </w:p>
          <w:p>
            <w:pPr>
              <w:rPr>
                <w:rFonts w:hint="eastAsia" w:ascii="楷体" w:hAnsi="楷体" w:eastAsia="楷体" w:cs="楷体"/>
                <w:sz w:val="21"/>
                <w:szCs w:val="21"/>
              </w:rPr>
            </w:pPr>
            <w:r>
              <w:rPr>
                <w:rFonts w:hint="eastAsia" w:ascii="楷体" w:hAnsi="楷体" w:eastAsia="楷体" w:cs="楷体"/>
                <w:sz w:val="21"/>
                <w:szCs w:val="21"/>
              </w:rPr>
              <w:t>●生产设备：CNC卧式加工中心、数控车床、线切割、平面磨床、摇臂钻床等；基本能满足服务需要。设备状态良好。</w:t>
            </w:r>
          </w:p>
          <w:p>
            <w:pPr>
              <w:spacing w:line="240" w:lineRule="exact"/>
              <w:rPr>
                <w:rFonts w:hint="eastAsia" w:ascii="楷体" w:hAnsi="楷体" w:eastAsia="楷体" w:cs="楷体"/>
                <w:sz w:val="21"/>
                <w:szCs w:val="21"/>
              </w:rPr>
            </w:pPr>
            <w:r>
              <w:rPr>
                <w:rFonts w:hint="eastAsia" w:ascii="楷体" w:hAnsi="楷体" w:eastAsia="楷体" w:cs="楷体"/>
                <w:sz w:val="21"/>
                <w:szCs w:val="21"/>
              </w:rPr>
              <w:t>办公设备的日常维护，主要为局域网维护、灰尘清扫、电脑、和一些设备的耗材更换。</w:t>
            </w:r>
          </w:p>
          <w:p>
            <w:pPr>
              <w:spacing w:line="240" w:lineRule="exact"/>
              <w:rPr>
                <w:rFonts w:ascii="宋体" w:hAnsi="宋体"/>
                <w:b/>
                <w:color w:val="000000" w:themeColor="text1"/>
                <w:sz w:val="20"/>
                <w:szCs w:val="20"/>
              </w:rPr>
            </w:pPr>
            <w:r>
              <w:rPr>
                <w:rFonts w:hint="eastAsia" w:ascii="楷体" w:hAnsi="楷体" w:eastAsia="楷体" w:cs="楷体"/>
                <w:bCs/>
                <w:color w:val="000000" w:themeColor="text1"/>
                <w:sz w:val="21"/>
                <w:szCs w:val="21"/>
              </w:rPr>
              <w:t>目前企业所提供的内外部资源基本能满足管理体系运行的需要。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eastAsia" w:ascii="楷体" w:hAnsi="楷体" w:eastAsia="楷体" w:cs="楷体"/>
                <w:bCs/>
                <w:sz w:val="21"/>
                <w:szCs w:val="21"/>
              </w:rPr>
            </w:pPr>
            <w:r>
              <w:rPr>
                <w:rFonts w:hint="eastAsia" w:ascii="楷体" w:hAnsi="楷体" w:eastAsia="楷体" w:cs="楷体"/>
                <w:bCs/>
                <w:color w:val="000000" w:themeColor="text1"/>
                <w:sz w:val="21"/>
                <w:szCs w:val="21"/>
              </w:rPr>
              <w:t>目前生产经营在湖北省十堰市张湾区红卫街道工业新区</w:t>
            </w:r>
            <w:r>
              <w:rPr>
                <w:rFonts w:hint="eastAsia" w:ascii="楷体" w:hAnsi="楷体" w:eastAsia="楷体" w:cs="楷体"/>
                <w:bCs/>
                <w:sz w:val="21"/>
                <w:szCs w:val="21"/>
              </w:rPr>
              <w:t>捷达路16号，企业生产地为租用，共2个车间2200平米左右，其中含原材料库房100平米左右；办公楼共三层， 2000平米左右</w:t>
            </w:r>
          </w:p>
          <w:p>
            <w:pPr>
              <w:spacing w:line="240" w:lineRule="exact"/>
              <w:rPr>
                <w:rFonts w:hint="eastAsia" w:ascii="楷体" w:hAnsi="楷体" w:eastAsia="楷体" w:cs="楷体"/>
                <w:bCs/>
                <w:sz w:val="21"/>
                <w:szCs w:val="21"/>
              </w:rPr>
            </w:pPr>
            <w:r>
              <w:rPr>
                <w:rFonts w:hint="eastAsia" w:ascii="楷体" w:hAnsi="楷体" w:eastAsia="楷体" w:cs="楷体"/>
                <w:bCs/>
                <w:sz w:val="21"/>
                <w:szCs w:val="21"/>
              </w:rPr>
              <w:t>主要工作场所为公司办公场所、生产、仓库，现场查看：1、办公现场环境整洁，秩序良好。2、生产环境无特殊要求。3、办公区内有消防器材，有效期内。</w:t>
            </w:r>
          </w:p>
          <w:p>
            <w:pPr>
              <w:spacing w:line="240" w:lineRule="exact"/>
              <w:rPr>
                <w:rFonts w:ascii="宋体" w:hAnsi="宋体"/>
                <w:b/>
                <w:color w:val="000000" w:themeColor="text1"/>
                <w:sz w:val="20"/>
                <w:szCs w:val="20"/>
              </w:rPr>
            </w:pPr>
            <w:r>
              <w:rPr>
                <w:rFonts w:hint="eastAsia" w:ascii="楷体" w:hAnsi="楷体" w:eastAsia="楷体" w:cs="楷体"/>
                <w:bCs/>
                <w:color w:val="000000" w:themeColor="text1"/>
                <w:sz w:val="21"/>
                <w:szCs w:val="21"/>
              </w:rPr>
              <w:t>工作环境可满足需要。工作环境可满足需要。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ascii="楷体" w:hAnsi="楷体" w:eastAsia="楷体" w:cs="楷体"/>
                <w:sz w:val="21"/>
                <w:szCs w:val="21"/>
              </w:rPr>
            </w:pPr>
            <w:r>
              <w:rPr>
                <w:rFonts w:hint="eastAsia" w:ascii="楷体" w:hAnsi="楷体" w:eastAsia="楷体" w:cs="楷体"/>
                <w:sz w:val="21"/>
                <w:szCs w:val="21"/>
              </w:rPr>
              <w:t>●企业编制计量器具台账，记录了设备编号、名称、规格型号等内容。</w:t>
            </w:r>
          </w:p>
          <w:p>
            <w:pPr>
              <w:rPr>
                <w:rFonts w:ascii="宋体" w:hAnsi="宋体"/>
                <w:b/>
                <w:color w:val="000000" w:themeColor="text1"/>
                <w:sz w:val="20"/>
                <w:szCs w:val="20"/>
              </w:rPr>
            </w:pPr>
            <w:r>
              <w:rPr>
                <w:rFonts w:hint="eastAsia" w:ascii="楷体" w:hAnsi="楷体" w:eastAsia="楷体" w:cs="楷体"/>
                <w:sz w:val="21"/>
                <w:szCs w:val="21"/>
              </w:rPr>
              <w:t>●组织配置的监视测量设备主要为</w:t>
            </w:r>
            <w:r>
              <w:rPr>
                <w:rFonts w:hint="eastAsia" w:ascii="楷体" w:hAnsi="楷体" w:eastAsia="楷体" w:cs="楷体"/>
                <w:color w:val="000000"/>
                <w:sz w:val="21"/>
                <w:szCs w:val="21"/>
              </w:rPr>
              <w:t>游标卡尺等</w:t>
            </w:r>
            <w:r>
              <w:rPr>
                <w:rFonts w:hint="eastAsia" w:ascii="楷体" w:hAnsi="楷体" w:eastAsia="楷体" w:cs="楷体"/>
                <w:kern w:val="0"/>
                <w:sz w:val="21"/>
                <w:szCs w:val="21"/>
              </w:rPr>
              <w:t>。基本满足检验需要。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办公室负责公司知识管理的协调工作、无形资产的管理、信息系统的建设与管理以及公司所有制度文件和资料的管理和控制工作并对内、外部知识进行确定、维护、发放与管理。</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已识别的公司内部知识包括：企业管理知识，专业技术知识，市场营销知识，成功经验总结，失败教训案例，培训心得体会。主要有：人员的工作经历、经验、操作技能、作业文件、软件程序等。</w:t>
            </w:r>
          </w:p>
          <w:p>
            <w:pPr>
              <w:spacing w:line="240" w:lineRule="exact"/>
              <w:rPr>
                <w:rFonts w:hint="eastAsia" w:ascii="宋体" w:hAnsi="宋体" w:eastAsia="宋体"/>
                <w:b/>
                <w:color w:val="000000" w:themeColor="text1"/>
                <w:sz w:val="20"/>
                <w:szCs w:val="20"/>
                <w:lang w:eastAsia="zh-CN"/>
              </w:rPr>
            </w:pPr>
            <w:r>
              <w:rPr>
                <w:rFonts w:hint="eastAsia" w:ascii="楷体" w:hAnsi="楷体" w:eastAsia="楷体" w:cs="楷体"/>
                <w:bCs/>
                <w:color w:val="000000" w:themeColor="text1"/>
                <w:sz w:val="21"/>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pPr>
            <w:r>
              <w:rPr>
                <w:rFonts w:hint="eastAsia"/>
              </w:rPr>
              <w:t>1. 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spacing w:line="300" w:lineRule="exact"/>
              <w:ind w:left="1"/>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企业策划并制定了质量方针：“诚信为本，以质量求生存，科技创新，追求行业领先水平”</w:t>
            </w:r>
          </w:p>
          <w:p>
            <w:pPr>
              <w:spacing w:line="300" w:lineRule="exact"/>
              <w:ind w:left="1"/>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方针在质量手册中予以规定，经总经理批准实施。</w:t>
            </w:r>
          </w:p>
          <w:p>
            <w:pPr>
              <w:bidi w:val="0"/>
            </w:pPr>
            <w:r>
              <w:rPr>
                <w:rFonts w:hint="eastAsia" w:ascii="楷体" w:hAnsi="楷体" w:eastAsia="楷体" w:cs="楷体"/>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楷体" w:hAnsi="楷体" w:eastAsia="楷体" w:cs="楷体"/>
                <w:b/>
                <w:color w:val="000000" w:themeColor="text1"/>
                <w:sz w:val="21"/>
                <w:szCs w:val="21"/>
              </w:rPr>
            </w:pPr>
            <w:r>
              <w:rPr>
                <w:rFonts w:hint="eastAsia" w:ascii="楷体" w:hAnsi="楷体" w:eastAsia="楷体" w:cs="楷体"/>
                <w:b/>
                <w:color w:val="000000" w:themeColor="text1"/>
                <w:sz w:val="21"/>
                <w:szCs w:val="21"/>
              </w:rPr>
              <w:t>内部沟通的情况：内部沟通方式：</w:t>
            </w:r>
            <w:r>
              <w:rPr>
                <w:rFonts w:hint="eastAsia" w:ascii="楷体" w:hAnsi="楷体" w:eastAsia="楷体" w:cs="楷体"/>
                <w:color w:val="000000" w:themeColor="text1"/>
                <w:sz w:val="21"/>
                <w:szCs w:val="21"/>
              </w:rPr>
              <w:t>a)通过各种列会传达、通报质量管理情况（如工作例会、经营会议等)；b)各部门内部会议等；c)内部文件的学习和传递；d)公司宣传栏等方式</w:t>
            </w:r>
          </w:p>
          <w:p>
            <w:pPr>
              <w:spacing w:line="240" w:lineRule="exact"/>
              <w:rPr>
                <w:rFonts w:hint="eastAsia" w:ascii="楷体" w:hAnsi="楷体" w:eastAsia="楷体" w:cs="楷体"/>
                <w:b/>
                <w:color w:val="000000" w:themeColor="text1"/>
                <w:sz w:val="21"/>
                <w:szCs w:val="21"/>
              </w:rPr>
            </w:pPr>
            <w:r>
              <w:rPr>
                <w:rFonts w:hint="eastAsia" w:ascii="楷体" w:hAnsi="楷体" w:eastAsia="楷体" w:cs="楷体"/>
                <w:b/>
                <w:color w:val="000000" w:themeColor="text1"/>
                <w:sz w:val="21"/>
                <w:szCs w:val="21"/>
              </w:rPr>
              <w:t xml:space="preserve">                内部沟通的效果：</w:t>
            </w:r>
            <w:r>
              <w:rPr>
                <w:rFonts w:hint="eastAsia" w:ascii="楷体" w:hAnsi="楷体" w:eastAsia="楷体" w:cs="楷体"/>
                <w:color w:val="000000" w:themeColor="text1"/>
                <w:sz w:val="21"/>
                <w:szCs w:val="21"/>
              </w:rPr>
              <w:t>良好</w:t>
            </w:r>
          </w:p>
          <w:p>
            <w:pPr>
              <w:spacing w:line="240" w:lineRule="exact"/>
              <w:rPr>
                <w:rFonts w:hint="eastAsia" w:ascii="楷体" w:hAnsi="楷体" w:eastAsia="楷体" w:cs="楷体"/>
                <w:color w:val="000000" w:themeColor="text1"/>
                <w:sz w:val="21"/>
                <w:szCs w:val="21"/>
              </w:rPr>
            </w:pPr>
            <w:r>
              <w:rPr>
                <w:rFonts w:hint="eastAsia" w:ascii="楷体" w:hAnsi="楷体" w:eastAsia="楷体" w:cs="楷体"/>
                <w:b/>
                <w:color w:val="000000" w:themeColor="text1"/>
                <w:sz w:val="21"/>
                <w:szCs w:val="21"/>
              </w:rPr>
              <w:t>组织对外联络，关注顾客的感受情况（QMS）：</w:t>
            </w:r>
            <w:r>
              <w:rPr>
                <w:rFonts w:hint="eastAsia" w:ascii="楷体" w:hAnsi="楷体" w:eastAsia="楷体" w:cs="楷体"/>
                <w:color w:val="000000" w:themeColor="text1"/>
                <w:sz w:val="21"/>
                <w:szCs w:val="21"/>
              </w:rPr>
              <w:t>a)与供方沟通采购产品信息，产品质量和交货信息等；b)与顾客沟通新产品设计开发信息、产品质量、交付情况和服务方面等；c)与当地政府主管部门进行交流沟通。</w:t>
            </w:r>
          </w:p>
          <w:p>
            <w:pPr>
              <w:spacing w:line="240" w:lineRule="exact"/>
              <w:rPr>
                <w:rFonts w:hint="eastAsia" w:ascii="楷体" w:hAnsi="楷体" w:eastAsia="楷体" w:cs="楷体"/>
                <w:b/>
                <w:color w:val="000000" w:themeColor="text1"/>
                <w:sz w:val="21"/>
                <w:szCs w:val="21"/>
              </w:rPr>
            </w:pPr>
            <w:r>
              <w:rPr>
                <w:rFonts w:hint="eastAsia" w:ascii="楷体" w:hAnsi="楷体" w:eastAsia="楷体" w:cs="楷体"/>
                <w:b/>
                <w:color w:val="000000" w:themeColor="text1"/>
                <w:sz w:val="21"/>
                <w:szCs w:val="21"/>
              </w:rPr>
              <w:t>内外部信息交流/沟通方式可行、有效</w:t>
            </w:r>
          </w:p>
          <w:p>
            <w:pPr>
              <w:spacing w:line="240" w:lineRule="exact"/>
              <w:rPr>
                <w:rFonts w:hint="eastAsia" w:ascii="楷体_GB2312" w:eastAsia="楷体_GB2312"/>
                <w:b/>
                <w:color w:val="000000" w:themeColor="text1"/>
                <w:szCs w:val="21"/>
                <w:lang w:eastAsia="zh-CN"/>
              </w:rPr>
            </w:pPr>
            <w:r>
              <w:rPr>
                <w:rFonts w:hint="eastAsia" w:ascii="楷体" w:hAnsi="楷体" w:eastAsia="楷体" w:cs="楷体"/>
                <w:b/>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企业根据客户要求对生产进行策划：</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color w:val="000000" w:themeColor="text1"/>
                <w:sz w:val="18"/>
                <w:szCs w:val="18"/>
              </w:rPr>
              <w:t>1、确定产品和服务的要求：法</w:t>
            </w:r>
            <w:r>
              <w:rPr>
                <w:rFonts w:hint="eastAsia" w:ascii="楷体" w:hAnsi="楷体" w:eastAsia="楷体" w:cs="楷体"/>
                <w:sz w:val="18"/>
                <w:szCs w:val="18"/>
              </w:rPr>
              <w:t>律法规及客户要求 ；GB/T1804-2000一般公差 未注公差的线性和角度尺寸的公差、ZBN J50008.1-1988金属切削机床机械加工件 通用技术条件、形位公差GB/T1184-K及客户要求等</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2、制定目标，目标基本合理、可测量、可达到</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3、流程：毛坯件--加工中心加工--铣面-钻孔-攻丝--表面处理-质检--交货</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4、策划了设备操作规程、图纸等作业指导文件，及产品检验记录等记录。</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5、所需资源：配备了</w:t>
            </w:r>
            <w:r>
              <w:rPr>
                <w:rFonts w:hint="eastAsia" w:ascii="楷体" w:hAnsi="楷体" w:eastAsia="楷体" w:cs="楷体"/>
                <w:bCs/>
                <w:color w:val="000000" w:themeColor="text1"/>
                <w:sz w:val="18"/>
                <w:szCs w:val="18"/>
              </w:rPr>
              <w:t>CNC卧式加工中心、数控车床、线切割、平面磨床、摇臂钻床等</w:t>
            </w:r>
            <w:r>
              <w:rPr>
                <w:rFonts w:hint="eastAsia" w:ascii="楷体" w:hAnsi="楷体" w:eastAsia="楷体" w:cs="楷体"/>
                <w:color w:val="000000" w:themeColor="text1"/>
                <w:sz w:val="18"/>
                <w:szCs w:val="18"/>
              </w:rPr>
              <w:t>生产设备及游标卡尺等检测设备，人员经过培训上岗等。基本满足工作需要。资源基本满足。</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6、遵照岗位职责、设备操作规程、工艺流程、图纸等作业指导文件实施过程控制。</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产品通过检验来对产品实现过程进行控制。生产过程中由目负责人组织进行检查，项目完成后由客户进行验收，符合要求</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7、</w:t>
            </w:r>
            <w:r>
              <w:rPr>
                <w:rFonts w:hint="eastAsia" w:ascii="楷体" w:hAnsi="楷体" w:eastAsia="楷体" w:cs="楷体"/>
                <w:color w:val="000000" w:themeColor="text1"/>
                <w:sz w:val="18"/>
                <w:szCs w:val="18"/>
              </w:rPr>
              <w:tab/>
            </w:r>
            <w:r>
              <w:rPr>
                <w:rFonts w:hint="eastAsia" w:ascii="楷体" w:hAnsi="楷体" w:eastAsia="楷体" w:cs="楷体"/>
                <w:color w:val="000000" w:themeColor="text1"/>
                <w:sz w:val="18"/>
                <w:szCs w:val="18"/>
              </w:rPr>
              <w:t>策划了订单（生产计划单）、产品检验记录等，记录均保期3年。由生产技术部统一汇总交办公室存储。</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8、通过识别与评价对公司目标和战略方向相关，影响其实现质量管理体系预期结果的各种内外部环境因素，有效应对风险和机遇。</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 xml:space="preserve">9、外包过程：无 </w:t>
            </w:r>
          </w:p>
          <w:p>
            <w:pPr>
              <w:spacing w:line="240" w:lineRule="exact"/>
              <w:ind w:left="142" w:hanging="142" w:hangingChars="79"/>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10、策划适合组织体系运行需要，未发生更改，策划情况符合标准要求</w:t>
            </w:r>
          </w:p>
          <w:p>
            <w:pPr>
              <w:spacing w:line="240" w:lineRule="exact"/>
              <w:rPr>
                <w:rFonts w:hint="eastAsia" w:ascii="楷体" w:hAnsi="楷体" w:eastAsia="楷体" w:cs="楷体"/>
                <w:color w:val="000000" w:themeColor="text1"/>
                <w:sz w:val="18"/>
                <w:szCs w:val="18"/>
              </w:rPr>
            </w:pPr>
            <w:r>
              <w:rPr>
                <w:rFonts w:hint="eastAsia" w:ascii="楷体" w:hAnsi="楷体" w:eastAsia="楷体" w:cs="楷体"/>
                <w:color w:val="000000" w:themeColor="text1"/>
                <w:sz w:val="18"/>
                <w:szCs w:val="18"/>
              </w:rPr>
              <w:t>产品实现策划的输出的信息充分，输出内容满足标准要求和企业实际</w:t>
            </w:r>
          </w:p>
          <w:p>
            <w:pPr>
              <w:spacing w:line="240" w:lineRule="exact"/>
              <w:rPr>
                <w:rFonts w:hint="eastAsia" w:ascii="楷体" w:hAnsi="楷体" w:eastAsia="楷体" w:cs="楷体"/>
                <w:b/>
                <w:color w:val="000000" w:themeColor="text1"/>
                <w:sz w:val="20"/>
                <w:szCs w:val="20"/>
              </w:rPr>
            </w:pPr>
          </w:p>
          <w:p>
            <w:pPr>
              <w:spacing w:line="240" w:lineRule="exact"/>
              <w:rPr>
                <w:rFonts w:hint="eastAsia" w:ascii="楷体" w:hAnsi="楷体" w:eastAsia="楷体" w:cs="楷体"/>
                <w:b/>
                <w:color w:val="000000" w:themeColor="text1"/>
                <w:szCs w:val="21"/>
              </w:rPr>
            </w:pPr>
            <w:r>
              <w:rPr>
                <w:rFonts w:hint="eastAsia" w:ascii="楷体" w:hAnsi="楷体" w:eastAsia="楷体" w:cs="楷体"/>
                <w:b/>
                <w:color w:val="000000" w:themeColor="text1"/>
                <w:szCs w:val="21"/>
              </w:rPr>
              <w:t>设计开发：</w:t>
            </w:r>
          </w:p>
          <w:p>
            <w:pPr>
              <w:spacing w:line="240" w:lineRule="exact"/>
              <w:ind w:left="142" w:leftChars="0" w:hanging="142" w:hangingChars="79"/>
              <w:rPr>
                <w:b/>
                <w:color w:val="000000" w:themeColor="text1"/>
                <w:sz w:val="20"/>
                <w:szCs w:val="20"/>
              </w:rPr>
            </w:pPr>
            <w:r>
              <w:rPr>
                <w:rFonts w:hint="eastAsia" w:ascii="楷体" w:hAnsi="楷体" w:eastAsia="楷体" w:cs="楷体"/>
                <w:color w:val="000000" w:themeColor="text1"/>
                <w:sz w:val="18"/>
                <w:szCs w:val="18"/>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ascii="楷体" w:hAnsi="楷体" w:eastAsia="楷体" w:cs="楷体"/>
                <w:bCs/>
                <w:sz w:val="18"/>
                <w:szCs w:val="18"/>
              </w:rPr>
            </w:pPr>
            <w:r>
              <w:rPr>
                <w:rFonts w:hint="eastAsia" w:ascii="楷体" w:hAnsi="楷体" w:eastAsia="楷体" w:cs="楷体"/>
                <w:b/>
                <w:bCs/>
                <w:color w:val="000000" w:themeColor="text1"/>
                <w:szCs w:val="21"/>
              </w:rPr>
              <w:t>外部提供过程、产品和服务过程管理</w:t>
            </w:r>
            <w:r>
              <w:rPr>
                <w:rFonts w:hint="eastAsia" w:ascii="楷体" w:hAnsi="楷体" w:eastAsia="楷体" w:cs="楷体"/>
                <w:bCs/>
                <w:color w:val="000000" w:themeColor="text1"/>
                <w:sz w:val="18"/>
                <w:szCs w:val="18"/>
              </w:rPr>
              <w:br w:type="textWrapping"/>
            </w:r>
            <w:r>
              <w:rPr>
                <w:rFonts w:hint="eastAsia" w:ascii="楷体" w:hAnsi="楷体" w:eastAsia="楷体" w:cs="楷体"/>
                <w:bCs/>
                <w:color w:val="000000" w:themeColor="text1"/>
                <w:sz w:val="18"/>
                <w:szCs w:val="18"/>
              </w:rPr>
              <w:t>为确保外部提供的过</w:t>
            </w:r>
            <w:r>
              <w:rPr>
                <w:rFonts w:hint="eastAsia" w:ascii="楷体" w:hAnsi="楷体" w:eastAsia="楷体" w:cs="楷体"/>
                <w:bCs/>
                <w:sz w:val="18"/>
                <w:szCs w:val="18"/>
              </w:rPr>
              <w:t>程、产品持续稳定地满足顾客要求，要求所需物资在合格供应商处采购，定期组织供方业绩评定。产品部通过供方调查的形式，对外部提供过程的供方相关信息进行调查确认，调查评价合格后列入“合格供方名录”。抽供方评价表、抽采购计划、采购检验记录，均保存完好，符合要求。</w:t>
            </w:r>
          </w:p>
          <w:p>
            <w:pPr>
              <w:spacing w:line="240" w:lineRule="exact"/>
              <w:rPr>
                <w:rFonts w:hint="eastAsia" w:ascii="楷体" w:hAnsi="楷体" w:eastAsia="楷体" w:cs="楷体"/>
                <w:bCs/>
                <w:sz w:val="18"/>
                <w:szCs w:val="18"/>
              </w:rPr>
            </w:pPr>
          </w:p>
          <w:p>
            <w:pPr>
              <w:spacing w:line="240" w:lineRule="exact"/>
              <w:ind w:left="167" w:hanging="167" w:hangingChars="79"/>
              <w:rPr>
                <w:rFonts w:hint="eastAsia" w:ascii="楷体" w:hAnsi="楷体" w:eastAsia="楷体" w:cs="楷体"/>
                <w:b/>
                <w:szCs w:val="21"/>
              </w:rPr>
            </w:pPr>
            <w:r>
              <w:rPr>
                <w:rFonts w:hint="eastAsia" w:ascii="楷体" w:hAnsi="楷体" w:eastAsia="楷体" w:cs="楷体"/>
                <w:b/>
                <w:szCs w:val="21"/>
              </w:rPr>
              <w:t>生产及服务过程控制（生产）</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企业根据客户图纸/生产计划进行生产，策划了生产流程，符合要求</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执行标准： GB/T1804-2000一般公差 未注公差的线性和角度尺寸的公差、ZBN J50008.1-1988金属切削机床机械加工件 通用技术条件、形位公差GB/T1184-K及客户要求等</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以上信息能够指导生产</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可获得和使用适宜的监视和测量资源：游标卡尺等。监视和测量设备满足检验需要</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在适当阶段实施监视和测量活动，以验证是否符合过程或输出的控制准则以及产品和服务的接收准则：图纸、检验标准、冲床安全操作规程、设备维保制度等作业指导文件实施过程控制。</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产品通过检验等来对产品实现过程进行控制。生产过程中由专人进行检查，完成后由客户进行验收，符合要求。</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为过程的运行使用适宜的基础设施，并保持适宜的环境：配备了CNC卧式加工中心、数控车床、线切割、平面磨床、摇臂钻床、起重机等生产设备，人员经过培训上岗等。基本满足工作需要。资源基本满足。</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生产环境为防潮，无其他特殊要求。</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办公区内有消防器材，有效期内。</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配备胜任的人员，包括所需求的资格：初中以上学历；视力良好；有一定工作经验、经过培训、考核合格后上岗。</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若输出结果不能由后续的监视或测量加以验证，应对生产和服务提供过程实现策划结果的能力进行确认，并定期再确认：经确认，生产过程中无需要确认的过程。人员均经培训后上岗，符合要求。</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采取措施防止人为错误：各工序制定有操作规程、图纸、检验标准，明确了操作要求，各工序互检，避免人为失误</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实施放行、交付和交付后的活动：按照各图纸要求实施过程控制，以确保有效实施放行、交付和交付后活动。</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现场巡视生产现场：生产现场干净整洁、设备运转正常。人员配备符合要求。</w:t>
            </w:r>
          </w:p>
          <w:p>
            <w:pPr>
              <w:spacing w:line="240" w:lineRule="exact"/>
              <w:ind w:left="142" w:hanging="142" w:hangingChars="79"/>
              <w:rPr>
                <w:rFonts w:hint="eastAsia" w:ascii="楷体" w:hAnsi="楷体" w:eastAsia="楷体" w:cs="楷体"/>
                <w:sz w:val="18"/>
                <w:szCs w:val="18"/>
              </w:rPr>
            </w:pPr>
            <w:r>
              <w:rPr>
                <w:rFonts w:hint="eastAsia" w:ascii="楷体" w:hAnsi="楷体" w:eastAsia="楷体" w:cs="楷体"/>
                <w:sz w:val="18"/>
                <w:szCs w:val="18"/>
              </w:rPr>
              <w:t>生产过程受控</w:t>
            </w:r>
          </w:p>
          <w:p>
            <w:pPr>
              <w:spacing w:line="240" w:lineRule="exact"/>
              <w:ind w:left="142" w:hanging="142" w:hangingChars="79"/>
              <w:rPr>
                <w:sz w:val="18"/>
                <w:szCs w:val="18"/>
              </w:rPr>
            </w:pPr>
          </w:p>
          <w:p>
            <w:pPr>
              <w:spacing w:line="240" w:lineRule="exact"/>
              <w:ind w:left="142" w:hanging="142" w:hangingChars="79"/>
              <w:jc w:val="left"/>
              <w:rPr>
                <w:rFonts w:hint="eastAsia" w:ascii="楷体" w:hAnsi="楷体" w:eastAsia="楷体" w:cs="楷体"/>
                <w:sz w:val="18"/>
                <w:szCs w:val="18"/>
              </w:rPr>
            </w:pPr>
            <w:r>
              <w:rPr>
                <w:rFonts w:hint="eastAsia" w:ascii="楷体" w:hAnsi="楷体" w:eastAsia="楷体" w:cs="楷体"/>
                <w:sz w:val="18"/>
                <w:szCs w:val="18"/>
              </w:rPr>
              <w:t>生产放行：入库检验记录，符合要求。</w:t>
            </w:r>
          </w:p>
          <w:p>
            <w:pPr>
              <w:spacing w:line="240" w:lineRule="exact"/>
              <w:ind w:left="142" w:hanging="142" w:hangingChars="79"/>
              <w:jc w:val="left"/>
              <w:rPr>
                <w:rFonts w:hint="eastAsia" w:ascii="楷体" w:hAnsi="楷体" w:eastAsia="楷体" w:cs="楷体"/>
                <w:sz w:val="18"/>
                <w:szCs w:val="18"/>
              </w:rPr>
            </w:pPr>
            <w:r>
              <w:rPr>
                <w:rFonts w:hint="eastAsia" w:ascii="楷体" w:hAnsi="楷体" w:eastAsia="楷体" w:cs="楷体"/>
                <w:sz w:val="18"/>
                <w:szCs w:val="18"/>
              </w:rPr>
              <w:t>生产过程及成品检验：企业负责人介绍说：产品检验、检验单按图纸要求进行。</w:t>
            </w:r>
          </w:p>
          <w:p>
            <w:pPr>
              <w:spacing w:line="240" w:lineRule="exact"/>
              <w:ind w:left="142" w:hanging="142" w:hangingChars="79"/>
              <w:jc w:val="left"/>
              <w:rPr>
                <w:rFonts w:hint="eastAsia" w:ascii="楷体" w:hAnsi="楷体" w:eastAsia="楷体" w:cs="楷体"/>
                <w:sz w:val="18"/>
                <w:szCs w:val="18"/>
              </w:rPr>
            </w:pPr>
            <w:r>
              <w:rPr>
                <w:rFonts w:hint="eastAsia" w:ascii="楷体" w:hAnsi="楷体" w:eastAsia="楷体" w:cs="楷体"/>
                <w:sz w:val="18"/>
                <w:szCs w:val="18"/>
              </w:rPr>
              <w:t>抽轮边减速器壳体、推力杆下支臂、驻车卡钳检验记录，均保存完好，符合要求。</w:t>
            </w:r>
          </w:p>
          <w:p>
            <w:pPr>
              <w:rPr>
                <w:b/>
                <w:color w:val="000000" w:themeColor="text1"/>
                <w:sz w:val="20"/>
                <w:szCs w:val="20"/>
              </w:rPr>
            </w:pPr>
            <w:r>
              <w:rPr>
                <w:rFonts w:hint="eastAsia" w:ascii="楷体" w:hAnsi="楷体" w:eastAsia="楷体" w:cs="楷体"/>
                <w:sz w:val="18"/>
                <w:szCs w:val="18"/>
              </w:rPr>
              <w:t>产品放行受控。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rFonts w:hint="eastAsia" w:ascii="楷体" w:hAnsi="楷体" w:eastAsia="楷体" w:cs="楷体"/>
                <w:b/>
                <w:color w:val="000000" w:themeColor="text1"/>
                <w:sz w:val="21"/>
                <w:szCs w:val="21"/>
              </w:rPr>
            </w:pPr>
            <w:r>
              <w:rPr>
                <w:rFonts w:hint="eastAsia" w:ascii="楷体" w:hAnsi="楷体" w:eastAsia="楷体" w:cs="楷体"/>
                <w:b/>
                <w:color w:val="000000" w:themeColor="text1"/>
                <w:sz w:val="21"/>
                <w:szCs w:val="21"/>
              </w:rPr>
              <w:t>与顾客有关的过程</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企业通过电话、客户了解市场的需求状态，识别顾客要求。通过适用法律法规、行业标准收集、分析、评价了解行业发展要求。通过对竞争对手分析确定公司的发展市场。</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查销售过程控制记录：抽合同及合同评审记录，符合要求。</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目前沟通渠道畅通</w:t>
            </w:r>
          </w:p>
          <w:p>
            <w:pPr>
              <w:rPr>
                <w:rFonts w:hint="eastAsia" w:ascii="楷体" w:hAnsi="楷体" w:eastAsia="楷体" w:cs="楷体"/>
                <w:sz w:val="18"/>
                <w:szCs w:val="18"/>
              </w:rPr>
            </w:pPr>
            <w:r>
              <w:rPr>
                <w:rFonts w:hint="eastAsia" w:ascii="楷体" w:hAnsi="楷体" w:eastAsia="楷体" w:cs="楷体"/>
                <w:bCs/>
                <w:color w:val="000000" w:themeColor="text1"/>
                <w:sz w:val="21"/>
                <w:szCs w:val="21"/>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Cs/>
                <w:color w:val="000000" w:themeColor="text1"/>
                <w:sz w:val="18"/>
                <w:szCs w:val="18"/>
                <w:lang w:val="en-US" w:eastAsia="zh-CN"/>
              </w:rPr>
              <w:t xml:space="preserve"> 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查有《不合格控制程序》《不符合、纠正和预防措施控制程序》，对不合格输出进行识别和控制，防止不合格输出的非预期使用或交付</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询问部门负责人称目前没有不合格的非预期使用情况。未发生投诉所引起的不合格。</w:t>
            </w:r>
          </w:p>
          <w:p>
            <w:pPr>
              <w:spacing w:line="240" w:lineRule="exact"/>
              <w:rPr>
                <w:rFonts w:hint="eastAsia" w:ascii="楷体" w:hAnsi="楷体" w:eastAsia="楷体" w:cs="楷体"/>
                <w:bCs/>
                <w:color w:val="FF0000"/>
                <w:sz w:val="21"/>
                <w:szCs w:val="21"/>
              </w:rPr>
            </w:pPr>
            <w:r>
              <w:rPr>
                <w:rFonts w:hint="eastAsia" w:ascii="楷体" w:hAnsi="楷体" w:eastAsia="楷体" w:cs="楷体"/>
                <w:bCs/>
                <w:color w:val="000000" w:themeColor="text1"/>
                <w:sz w:val="21"/>
                <w:szCs w:val="21"/>
              </w:rPr>
              <w:t>抽不合格品/不符合评审处置单，处理符合要求</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针对内审中发现的不合格，采取了纠正措施，并进行验证合格。询问部门负责人称服务过程中未发现严重不合格或同类不合格屡次发生情况，因此未采取纠正措施。</w:t>
            </w:r>
          </w:p>
          <w:p>
            <w:pPr>
              <w:spacing w:line="240" w:lineRule="exact"/>
              <w:rPr>
                <w:b/>
                <w:color w:val="000000" w:themeColor="text1"/>
                <w:sz w:val="20"/>
                <w:szCs w:val="20"/>
              </w:rPr>
            </w:pPr>
            <w:r>
              <w:rPr>
                <w:rFonts w:hint="eastAsia" w:ascii="楷体" w:hAnsi="楷体" w:eastAsia="楷体" w:cs="楷体"/>
                <w:bCs/>
                <w:color w:val="000000" w:themeColor="text1"/>
                <w:sz w:val="21"/>
                <w:szCs w:val="21"/>
              </w:rPr>
              <w:t>目前风险和机遇无需更新，质量管理体系无需变更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rPr>
              <w:t>起重机，检验报告在有效期内，符合要求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eastAsia="宋体"/>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公司总的质量目标为：产品一次交验合格率&gt;99% (废品率&lt;1%) （本次合格产品数量/一次交验产品总量*100%）</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顾客满意率&gt;95%（顾客满意分数总和/总份数*100%）</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合同履约率100%（周期已履约合同数/周期所签合同总数*100%）</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2020年7月至2020年1</w:t>
            </w:r>
            <w:r>
              <w:rPr>
                <w:rFonts w:hint="eastAsia" w:ascii="楷体" w:hAnsi="楷体" w:eastAsia="楷体" w:cs="楷体"/>
                <w:bCs/>
                <w:color w:val="000000" w:themeColor="text1"/>
                <w:sz w:val="21"/>
                <w:szCs w:val="21"/>
                <w:lang w:val="en-US" w:eastAsia="zh-CN"/>
              </w:rPr>
              <w:t>2</w:t>
            </w:r>
            <w:r>
              <w:rPr>
                <w:rFonts w:hint="eastAsia" w:ascii="楷体" w:hAnsi="楷体" w:eastAsia="楷体" w:cs="楷体"/>
                <w:bCs/>
                <w:color w:val="000000" w:themeColor="text1"/>
                <w:sz w:val="21"/>
                <w:szCs w:val="21"/>
              </w:rPr>
              <w:t>月目标完成情况：均完成100%</w:t>
            </w:r>
          </w:p>
          <w:p>
            <w:pPr>
              <w:spacing w:line="240" w:lineRule="exact"/>
              <w:rPr>
                <w:b/>
                <w:color w:val="000000" w:themeColor="text1"/>
                <w:sz w:val="20"/>
                <w:szCs w:val="20"/>
              </w:rPr>
            </w:pPr>
            <w:r>
              <w:rPr>
                <w:rFonts w:hint="eastAsia" w:ascii="楷体" w:hAnsi="楷体" w:eastAsia="楷体" w:cs="楷体"/>
                <w:color w:val="000000" w:themeColor="text1"/>
                <w:sz w:val="21"/>
                <w:szCs w:val="21"/>
              </w:rPr>
              <w:t>质量目标进行了分解，各部门均完成，符合要求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420" w:firstLineChars="200"/>
              <w:rPr>
                <w:b/>
                <w:color w:val="000000" w:themeColor="text1"/>
                <w:sz w:val="20"/>
                <w:szCs w:val="20"/>
              </w:rPr>
            </w:pPr>
            <w:r>
              <w:rPr>
                <w:rFonts w:hint="eastAsia" w:ascii="楷体" w:hAnsi="楷体" w:eastAsia="楷体" w:cs="楷体"/>
                <w:bCs/>
                <w:color w:val="000000" w:themeColor="text1"/>
                <w:sz w:val="21"/>
                <w:szCs w:val="21"/>
              </w:rPr>
              <w:t>企业对顾客对产品是否满意的信息进行监视，并编制《顾客满意情况调查表》。对调查表中各项目进行测算，公司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100%，超过了质量目标要求，目标完成。从各分项看，客户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ascii="楷体" w:hAnsi="楷体" w:eastAsia="楷体" w:cs="楷体"/>
                <w:bCs/>
                <w:sz w:val="21"/>
                <w:szCs w:val="21"/>
              </w:rPr>
            </w:pPr>
            <w:r>
              <w:rPr>
                <w:rFonts w:hint="eastAsia" w:ascii="楷体" w:hAnsi="楷体" w:eastAsia="楷体" w:cs="楷体"/>
                <w:bCs/>
                <w:sz w:val="21"/>
                <w:szCs w:val="21"/>
              </w:rPr>
              <w:t>公司制定了《内部审核控制程序》，文件规定每年至少进行一次内部审核，间隔时间不超过12个月。规定了审核的策划、实施、形成记录以及报告结果的要求。</w:t>
            </w:r>
          </w:p>
          <w:p>
            <w:pPr>
              <w:rPr>
                <w:rFonts w:hint="eastAsia" w:ascii="楷体" w:hAnsi="楷体" w:eastAsia="楷体" w:cs="楷体"/>
                <w:bCs/>
                <w:sz w:val="21"/>
                <w:szCs w:val="21"/>
              </w:rPr>
            </w:pPr>
            <w:r>
              <w:rPr>
                <w:rFonts w:hint="eastAsia" w:ascii="楷体" w:hAnsi="楷体" w:eastAsia="楷体" w:cs="楷体"/>
                <w:bCs/>
                <w:sz w:val="21"/>
                <w:szCs w:val="21"/>
              </w:rPr>
              <w:t>提供了《审核实施计划》，策划了审核目的、依据、审核内容、审核要求、审核组成员等内容。内审时间：2020.10.15</w:t>
            </w:r>
          </w:p>
          <w:p>
            <w:pPr>
              <w:rPr>
                <w:rFonts w:hint="eastAsia" w:ascii="楷体" w:hAnsi="楷体" w:eastAsia="楷体" w:cs="楷体"/>
                <w:bCs/>
                <w:sz w:val="21"/>
                <w:szCs w:val="21"/>
              </w:rPr>
            </w:pPr>
            <w:r>
              <w:rPr>
                <w:rFonts w:hint="eastAsia" w:ascii="楷体" w:hAnsi="楷体" w:eastAsia="楷体" w:cs="楷体"/>
                <w:bCs/>
                <w:sz w:val="21"/>
                <w:szCs w:val="21"/>
              </w:rPr>
              <w:t>依据GB/T19001-2016版标准，质量管理手册和体系其他文件。计划由总经理批准后实施。</w:t>
            </w:r>
          </w:p>
          <w:p>
            <w:pPr>
              <w:rPr>
                <w:rFonts w:hint="eastAsia" w:ascii="楷体" w:hAnsi="楷体" w:eastAsia="楷体" w:cs="楷体"/>
                <w:bCs/>
                <w:sz w:val="21"/>
                <w:szCs w:val="21"/>
              </w:rPr>
            </w:pPr>
            <w:r>
              <w:rPr>
                <w:rFonts w:hint="eastAsia" w:ascii="楷体" w:hAnsi="楷体" w:eastAsia="楷体" w:cs="楷体"/>
                <w:bCs/>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楷体" w:hAnsi="楷体" w:eastAsia="楷体" w:cs="楷体"/>
                <w:bCs/>
                <w:sz w:val="21"/>
                <w:szCs w:val="21"/>
              </w:rPr>
            </w:pPr>
            <w:r>
              <w:rPr>
                <w:rFonts w:hint="eastAsia" w:ascii="楷体" w:hAnsi="楷体" w:eastAsia="楷体" w:cs="楷体"/>
                <w:bCs/>
                <w:sz w:val="21"/>
                <w:szCs w:val="21"/>
              </w:rPr>
              <w:t>提供了内审检查表。内审不符合1项，已整改验收合格。</w:t>
            </w:r>
          </w:p>
          <w:p>
            <w:pPr>
              <w:rPr>
                <w:b/>
                <w:color w:val="000000" w:themeColor="text1"/>
                <w:sz w:val="20"/>
                <w:szCs w:val="20"/>
              </w:rPr>
            </w:pPr>
            <w:r>
              <w:rPr>
                <w:rFonts w:hint="eastAsia" w:ascii="楷体" w:hAnsi="楷体" w:eastAsia="楷体" w:cs="楷体"/>
                <w:bCs/>
                <w:sz w:val="21"/>
                <w:szCs w:val="21"/>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公司制定了编号：《管理评审控制程序》，文件规定每年至少进行一次管理评审。总经理于2020年10月24日组织进行了一次管理评审。</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查《管理评审计划》策划了管理评审目的、时间、参加人员、管理评审内容及资料等。总经理批准。</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提供《管理评审报告》，对评审情况进行了总结，各部门对各过程和活动进行了总结和讨论。</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评审结论：总的来说，本公司质量管理体系已建立并得到充分、有效、适宜的运行，全体员工必须以公司的质量管理方针 为宗旨，持续改善质量管理体系。</w:t>
            </w:r>
          </w:p>
          <w:p>
            <w:pPr>
              <w:spacing w:line="240" w:lineRule="exact"/>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rPr>
              <w:t>改进措施：我公司有关人员对标准ISO9001的理解不够深刻，现要求各部门负责人应加强公司质量管理体系文件的认真再学习，并充分理解，树立法制管理的观念，严格执行公司的法规性的质量管理体系文件，决定在两周之内由办公室组织相关人员再进行1次针对标准和管理手册的培训。</w:t>
            </w:r>
          </w:p>
          <w:p>
            <w:pPr>
              <w:spacing w:line="240" w:lineRule="exact"/>
              <w:rPr>
                <w:b/>
                <w:color w:val="000000" w:themeColor="text1"/>
                <w:sz w:val="20"/>
                <w:szCs w:val="20"/>
              </w:rPr>
            </w:pPr>
            <w:r>
              <w:rPr>
                <w:rFonts w:hint="eastAsia" w:ascii="楷体" w:hAnsi="楷体" w:eastAsia="楷体" w:cs="楷体"/>
                <w:bCs/>
                <w:color w:val="000000" w:themeColor="text1"/>
                <w:sz w:val="21"/>
                <w:szCs w:val="21"/>
              </w:rPr>
              <w:t>抽管理评审改进措施完成情况：已完成，有培训记录，符合要求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楷体" w:hAnsi="楷体" w:eastAsia="楷体" w:cs="楷体"/>
                <w:bCs/>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1）引导创新、修改和改进现有过程或实施新过程的突破项目；2）在现有过程中开展渐进、持续的改进活动；3）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日常监视和测量过程中发现的不合格、不符合要求相关责任部门及时制定相应的改进、纠正和纠正措施，以实管理体系的持续改进</w:t>
            </w:r>
            <w:r>
              <w:rPr>
                <w:rFonts w:hint="eastAsia" w:ascii="楷体" w:hAnsi="楷体" w:eastAsia="楷体" w:cs="楷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numId w:val="0"/>
              </w:numPr>
              <w:spacing w:line="240" w:lineRule="exact"/>
              <w:ind w:leftChars="-50"/>
              <w:rPr>
                <w:rFonts w:hint="eastAsia"/>
              </w:rPr>
            </w:pPr>
            <w:r>
              <w:rPr>
                <w:rFonts w:hint="eastAsia"/>
                <w:lang w:val="en-US" w:eastAsia="zh-CN"/>
              </w:rPr>
              <w:t>4.</w:t>
            </w:r>
            <w:r>
              <w:rPr>
                <w:rFonts w:hint="eastAsia"/>
              </w:rPr>
              <w:t>创新情况</w:t>
            </w:r>
          </w:p>
          <w:p>
            <w:pPr>
              <w:pStyle w:val="2"/>
              <w:numPr>
                <w:numId w:val="0"/>
              </w:numPr>
              <w:ind w:leftChars="-5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0" w:leftChars="0" w:firstLine="0" w:firstLineChars="0"/>
              <w:rPr>
                <w:rFonts w:hint="eastAsia"/>
              </w:rPr>
            </w:pPr>
            <w:r>
              <w:rPr>
                <w:rFonts w:hint="eastAsia"/>
              </w:rPr>
              <w:t>上次不符合的整改情况（再认证填写）</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远程审核不符合验证：2020年12月6日远程审核，企业</w:t>
            </w:r>
            <w:r>
              <w:rPr>
                <w:rFonts w:hint="eastAsia" w:ascii="楷体" w:hAnsi="楷体" w:eastAsia="楷体" w:cs="楷体"/>
                <w:b w:val="0"/>
                <w:bCs w:val="0"/>
                <w:sz w:val="21"/>
                <w:szCs w:val="21"/>
              </w:rPr>
              <w:t>未能提供对游标卡尺进行校准/验证的相关证据</w:t>
            </w:r>
            <w:r>
              <w:rPr>
                <w:rFonts w:hint="eastAsia" w:ascii="楷体" w:hAnsi="楷体" w:eastAsia="楷体" w:cs="楷体"/>
                <w:b w:val="0"/>
                <w:bCs w:val="0"/>
                <w:sz w:val="21"/>
                <w:szCs w:val="21"/>
                <w:lang w:eastAsia="zh-CN"/>
              </w:rPr>
              <w:t>，</w:t>
            </w:r>
          </w:p>
          <w:p>
            <w:pPr>
              <w:bidi w:val="0"/>
            </w:pPr>
            <w:r>
              <w:rPr>
                <w:rFonts w:hint="eastAsia" w:ascii="楷体" w:hAnsi="楷体" w:eastAsia="楷体" w:cs="楷体"/>
                <w:b w:val="0"/>
                <w:bCs w:val="0"/>
                <w:sz w:val="21"/>
                <w:szCs w:val="21"/>
                <w:lang w:val="en-US" w:eastAsia="zh-CN"/>
              </w:rPr>
              <w:t>企业对相关人员进行了相关培训，对监视测量</w:t>
            </w:r>
            <w:r>
              <w:rPr>
                <w:rFonts w:hint="eastAsia" w:ascii="楷体" w:hAnsi="楷体" w:eastAsia="楷体" w:cs="楷体"/>
                <w:b w:val="0"/>
                <w:bCs w:val="0"/>
                <w:sz w:val="21"/>
                <w:szCs w:val="21"/>
              </w:rPr>
              <w:t>设备</w:t>
            </w:r>
            <w:r>
              <w:rPr>
                <w:rFonts w:hint="eastAsia" w:ascii="楷体" w:hAnsi="楷体" w:eastAsia="楷体" w:cs="楷体"/>
                <w:b w:val="0"/>
                <w:bCs w:val="0"/>
                <w:sz w:val="21"/>
                <w:szCs w:val="21"/>
                <w:lang w:val="en-US" w:eastAsia="zh-CN"/>
              </w:rPr>
              <w:t>进行</w:t>
            </w:r>
            <w:r>
              <w:rPr>
                <w:rFonts w:hint="eastAsia" w:ascii="楷体" w:hAnsi="楷体" w:eastAsia="楷体" w:cs="楷体"/>
                <w:b w:val="0"/>
                <w:bCs w:val="0"/>
                <w:sz w:val="21"/>
                <w:szCs w:val="21"/>
              </w:rPr>
              <w:t>校准，</w:t>
            </w:r>
            <w:r>
              <w:rPr>
                <w:rFonts w:hint="eastAsia" w:ascii="楷体" w:hAnsi="楷体" w:eastAsia="楷体" w:cs="楷体"/>
                <w:b w:val="0"/>
                <w:bCs w:val="0"/>
                <w:sz w:val="21"/>
                <w:szCs w:val="21"/>
                <w:lang w:val="en-US" w:eastAsia="zh-CN"/>
              </w:rPr>
              <w:t>措施有效，本次审核</w:t>
            </w:r>
            <w:r>
              <w:rPr>
                <w:rFonts w:hint="eastAsia" w:ascii="楷体" w:hAnsi="楷体" w:eastAsia="楷体" w:cs="楷体"/>
                <w:b w:val="0"/>
                <w:bCs w:val="0"/>
                <w:sz w:val="21"/>
                <w:szCs w:val="21"/>
              </w:rPr>
              <w:t>未发生类似不符合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7"/>
              <w:spacing w:line="340" w:lineRule="exact"/>
              <w:ind w:left="1453" w:hanging="1033"/>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kern w:val="2"/>
                <w:sz w:val="21"/>
                <w:szCs w:val="21"/>
                <w:lang w:val="en-GB"/>
              </w:rPr>
              <w:t xml:space="preserve">根据审核发现，审核组一致认为， </w:t>
            </w:r>
            <w:r>
              <w:rPr>
                <w:rFonts w:hint="eastAsia" w:ascii="楷体" w:hAnsi="楷体" w:eastAsia="楷体" w:cs="楷体"/>
                <w:b w:val="0"/>
                <w:bCs w:val="0"/>
                <w:color w:val="auto"/>
                <w:sz w:val="21"/>
                <w:szCs w:val="21"/>
                <w:lang w:val="en-GB"/>
              </w:rPr>
              <w:t xml:space="preserve"> </w:t>
            </w:r>
            <w:r>
              <w:rPr>
                <w:rFonts w:hint="eastAsia" w:ascii="楷体" w:hAnsi="楷体" w:eastAsia="楷体" w:cs="楷体"/>
                <w:b w:val="0"/>
                <w:bCs w:val="0"/>
                <w:color w:val="000000" w:themeColor="text1"/>
                <w:sz w:val="21"/>
                <w:szCs w:val="21"/>
              </w:rPr>
              <w:t>十堰风向汽车零部件有限公司</w:t>
            </w:r>
            <w:r>
              <w:rPr>
                <w:rFonts w:hint="eastAsia" w:ascii="楷体" w:hAnsi="楷体" w:eastAsia="楷体" w:cs="楷体"/>
                <w:b w:val="0"/>
                <w:bCs w:val="0"/>
                <w:color w:val="auto"/>
                <w:kern w:val="2"/>
                <w:sz w:val="21"/>
                <w:szCs w:val="21"/>
                <w:lang w:val="en-GB"/>
              </w:rPr>
              <w:t>的</w:t>
            </w:r>
          </w:p>
          <w:p>
            <w:pPr>
              <w:pStyle w:val="17"/>
              <w:spacing w:line="340" w:lineRule="exact"/>
              <w:ind w:left="1441"/>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w:t>
            </w:r>
            <w:r>
              <w:rPr>
                <w:rFonts w:hint="eastAsia" w:ascii="楷体" w:hAnsi="楷体" w:eastAsia="楷体" w:cs="楷体"/>
                <w:b w:val="0"/>
                <w:bCs w:val="0"/>
                <w:color w:val="auto"/>
                <w:kern w:val="2"/>
                <w:sz w:val="21"/>
                <w:szCs w:val="21"/>
                <w:lang w:val="en-GB"/>
              </w:rPr>
              <w:t>质量</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kern w:val="2"/>
                <w:sz w:val="21"/>
                <w:szCs w:val="21"/>
                <w:lang w:val="en-GB"/>
              </w:rPr>
              <w:t>环境</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kern w:val="2"/>
                <w:sz w:val="21"/>
                <w:szCs w:val="21"/>
                <w:lang w:val="en-GB"/>
              </w:rPr>
              <w:t>职业健康安全</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kern w:val="2"/>
                <w:sz w:val="21"/>
                <w:szCs w:val="21"/>
                <w:lang w:val="en-GB"/>
              </w:rPr>
              <w:t>食品安全 管理体系：</w:t>
            </w:r>
          </w:p>
          <w:tbl>
            <w:tblPr>
              <w:tblStyle w:val="7"/>
              <w:tblW w:w="0" w:type="auto"/>
              <w:tblInd w:w="1440"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kern w:val="2"/>
                      <w:sz w:val="21"/>
                      <w:szCs w:val="21"/>
                      <w:lang w:val="en-GB"/>
                    </w:rPr>
                    <w:t>审核准则的要求</w:t>
                  </w:r>
                </w:p>
              </w:tc>
              <w:tc>
                <w:tcPr>
                  <w:tcW w:w="967"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w:t>
                  </w:r>
                  <w:r>
                    <w:rPr>
                      <w:rFonts w:hint="eastAsia" w:ascii="楷体" w:hAnsi="楷体" w:eastAsia="楷体" w:cs="楷体"/>
                      <w:b w:val="0"/>
                      <w:bCs w:val="0"/>
                      <w:color w:val="auto"/>
                      <w:kern w:val="2"/>
                      <w:sz w:val="21"/>
                      <w:szCs w:val="21"/>
                      <w:lang w:val="en-GB"/>
                    </w:rPr>
                    <w:t>符合</w:t>
                  </w:r>
                </w:p>
              </w:tc>
              <w:tc>
                <w:tcPr>
                  <w:tcW w:w="1134"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w:t>
                  </w:r>
                  <w:r>
                    <w:rPr>
                      <w:rFonts w:hint="eastAsia" w:ascii="楷体" w:hAnsi="楷体" w:eastAsia="楷体" w:cs="楷体"/>
                      <w:b w:val="0"/>
                      <w:bCs w:val="0"/>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适用要求</w:t>
                  </w:r>
                </w:p>
              </w:tc>
              <w:tc>
                <w:tcPr>
                  <w:tcW w:w="967"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■满足</w:t>
                  </w:r>
                </w:p>
              </w:tc>
              <w:tc>
                <w:tcPr>
                  <w:tcW w:w="1134"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实现预期结果的能力</w:t>
                  </w:r>
                </w:p>
              </w:tc>
              <w:tc>
                <w:tcPr>
                  <w:tcW w:w="967"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■满足</w:t>
                  </w:r>
                </w:p>
              </w:tc>
              <w:tc>
                <w:tcPr>
                  <w:tcW w:w="1134"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内部审核和管理评审过程</w:t>
                  </w:r>
                </w:p>
              </w:tc>
              <w:tc>
                <w:tcPr>
                  <w:tcW w:w="967"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■有效</w:t>
                  </w:r>
                </w:p>
              </w:tc>
              <w:tc>
                <w:tcPr>
                  <w:tcW w:w="1134"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审核目的</w:t>
                  </w:r>
                </w:p>
              </w:tc>
              <w:tc>
                <w:tcPr>
                  <w:tcW w:w="967"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■达到</w:t>
                  </w:r>
                </w:p>
              </w:tc>
              <w:tc>
                <w:tcPr>
                  <w:tcW w:w="1134"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kern w:val="2"/>
                      <w:sz w:val="21"/>
                      <w:szCs w:val="21"/>
                      <w:lang w:val="en-GB"/>
                    </w:rPr>
                    <w:t>体系运行</w:t>
                  </w:r>
                </w:p>
              </w:tc>
              <w:tc>
                <w:tcPr>
                  <w:tcW w:w="967"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■有效</w:t>
                  </w:r>
                </w:p>
              </w:tc>
              <w:tc>
                <w:tcPr>
                  <w:tcW w:w="1134" w:type="dxa"/>
                </w:tcPr>
                <w:p>
                  <w:pPr>
                    <w:pStyle w:val="17"/>
                    <w:spacing w:line="340" w:lineRule="exact"/>
                    <w:jc w:val="both"/>
                    <w:rPr>
                      <w:rFonts w:hint="eastAsia" w:ascii="楷体" w:hAnsi="楷体" w:eastAsia="楷体" w:cs="楷体"/>
                      <w:b w:val="0"/>
                      <w:bCs w:val="0"/>
                      <w:color w:val="auto"/>
                      <w:kern w:val="2"/>
                      <w:sz w:val="21"/>
                      <w:szCs w:val="21"/>
                      <w:lang w:val="en-GB"/>
                    </w:rPr>
                  </w:pPr>
                  <w:r>
                    <w:rPr>
                      <w:rFonts w:hint="eastAsia" w:ascii="楷体" w:hAnsi="楷体" w:eastAsia="楷体" w:cs="楷体"/>
                      <w:b w:val="0"/>
                      <w:bCs w:val="0"/>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仿宋"/>
          <w:b/>
          <w:bCs/>
          <w:color w:val="000000" w:themeColor="text1"/>
          <w:szCs w:val="28"/>
          <w:u w:val="single"/>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ascii="仿宋" w:hAnsi="仿宋" w:eastAsia="仿宋" w:cstheme="minorBidi"/>
          <w:color w:val="000000" w:themeColor="text1"/>
          <w:kern w:val="24"/>
          <w:sz w:val="28"/>
          <w:szCs w:val="28"/>
          <w:lang w:eastAsia="zh-CN"/>
        </w:rPr>
        <w:t>：</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rPr>
          <w:rFonts w:hint="eastAsia"/>
          <w:b/>
          <w:color w:val="000000" w:themeColor="text1"/>
          <w:sz w:val="26"/>
          <w:szCs w:val="26"/>
        </w:rPr>
        <w:drawing>
          <wp:inline distT="0" distB="0" distL="0" distR="0">
            <wp:extent cx="693420" cy="220980"/>
            <wp:effectExtent l="0" t="0" r="508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93420" cy="22098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rPr>
        <w:drawing>
          <wp:inline distT="0" distB="0" distL="0" distR="0">
            <wp:extent cx="693420" cy="220980"/>
            <wp:effectExtent l="0" t="0" r="508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93420" cy="220980"/>
                    </a:xfrm>
                    <a:prstGeom prst="rect">
                      <a:avLst/>
                    </a:prstGeom>
                    <a:noFill/>
                    <a:ln>
                      <a:noFill/>
                    </a:ln>
                  </pic:spPr>
                </pic:pic>
              </a:graphicData>
            </a:graphic>
          </wp:inline>
        </w:drawing>
      </w:r>
      <w:r>
        <w:rPr>
          <w:rFonts w:hint="eastAsia"/>
          <w:b/>
          <w:color w:val="000000" w:themeColor="text1"/>
          <w:sz w:val="26"/>
          <w:szCs w:val="26"/>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 w:val="26"/>
          <w:szCs w:val="26"/>
        </w:rPr>
        <w:drawing>
          <wp:inline distT="0" distB="0" distL="0" distR="0">
            <wp:extent cx="693420" cy="220980"/>
            <wp:effectExtent l="0" t="0" r="508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93420" cy="22098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20</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rPr>
          <w:rFonts w:ascii="宋体" w:hAnsi="宋体"/>
          <w:b/>
          <w:color w:val="000000" w:themeColor="text1"/>
          <w:sz w:val="26"/>
          <w:szCs w:val="26"/>
        </w:rPr>
      </w:pPr>
      <w:bookmarkStart w:id="22" w:name="_GoBack"/>
      <w:bookmarkEnd w:id="2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B44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2021-03-22T11:05:16Z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5AE09A41DDB143FDB0FBDD40C963B837</vt:lpwstr>
  </property>
</Properties>
</file>