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重庆龙杭实业有限公司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0186-2021-QEO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91500112MA5U65LR4Q</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auto"/>
                <w:szCs w:val="21"/>
              </w:rPr>
            </w:pPr>
            <w:r>
              <w:rPr>
                <w:rFonts w:hint="eastAsia"/>
                <w:color w:val="auto"/>
                <w:szCs w:val="21"/>
              </w:rPr>
              <w:t>提供认证范围管理体系覆盖的人数</w:t>
            </w:r>
            <w:r>
              <w:rPr>
                <w:rFonts w:hint="eastAsia"/>
                <w:color w:val="auto"/>
                <w:szCs w:val="21"/>
                <w:lang w:val="en-US" w:eastAsia="zh-CN"/>
              </w:rPr>
              <w:t>10</w:t>
            </w:r>
            <w:r>
              <w:rPr>
                <w:rFonts w:hint="eastAsia"/>
                <w:color w:val="auto"/>
                <w:szCs w:val="21"/>
              </w:rPr>
              <w:t>（管理人数、临时工、季节工）人　</w:t>
            </w:r>
          </w:p>
        </w:tc>
        <w:tc>
          <w:tcPr>
            <w:tcW w:w="2814" w:type="dxa"/>
          </w:tcPr>
          <w:p>
            <w:pPr>
              <w:rPr>
                <w:color w:val="auto"/>
                <w:szCs w:val="21"/>
              </w:rPr>
            </w:pPr>
            <w:r>
              <w:rPr>
                <w:rFonts w:hint="eastAsia"/>
                <w:color w:val="auto"/>
                <w:szCs w:val="21"/>
              </w:rPr>
              <w:t>与实际相符</w:t>
            </w:r>
          </w:p>
          <w:p>
            <w:pPr>
              <w:rPr>
                <w:color w:val="auto"/>
                <w:szCs w:val="21"/>
              </w:rPr>
            </w:pPr>
            <w:r>
              <w:rPr>
                <w:rFonts w:hint="eastAsia"/>
                <w:color w:val="auto"/>
                <w:szCs w:val="21"/>
              </w:rPr>
              <w:t>不符</w:t>
            </w:r>
          </w:p>
          <w:p>
            <w:pPr>
              <w:rPr>
                <w:color w:val="auto"/>
                <w:szCs w:val="21"/>
              </w:rPr>
            </w:pPr>
            <w:r>
              <w:rPr>
                <w:rFonts w:hint="eastAsia"/>
                <w:color w:val="auto"/>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rPr>
            </w:pPr>
            <w:r>
              <w:rPr>
                <w:rFonts w:hint="eastAsia"/>
                <w:color w:val="000000" w:themeColor="text1"/>
                <w:szCs w:val="21"/>
              </w:rPr>
              <w:t>计量器具的管理</w:t>
            </w:r>
          </w:p>
          <w:p>
            <w:pPr>
              <w:rPr>
                <w:color w:val="000000" w:themeColor="text1"/>
                <w:szCs w:val="21"/>
              </w:rPr>
            </w:pPr>
            <w:r>
              <w:rPr>
                <w:rFonts w:hint="eastAsia"/>
                <w:color w:val="000000" w:themeColor="text1"/>
                <w:szCs w:val="21"/>
              </w:rPr>
              <w:t>强检计量器具的配置符合产品标准的检验要求</w:t>
            </w:r>
          </w:p>
          <w:p>
            <w:pPr>
              <w:rPr>
                <w:color w:val="000000" w:themeColor="text1"/>
                <w:szCs w:val="21"/>
              </w:rPr>
            </w:pPr>
          </w:p>
          <w:p>
            <w:pPr>
              <w:rPr>
                <w:rFonts w:ascii="宋体" w:hAnsi="宋体"/>
                <w:color w:val="000000" w:themeColor="text1"/>
                <w:szCs w:val="21"/>
              </w:rPr>
            </w:pPr>
            <w:r>
              <w:rPr>
                <w:rFonts w:hint="eastAsia"/>
                <w:color w:val="000000" w:themeColor="text1"/>
                <w:szCs w:val="21"/>
              </w:rPr>
              <w:t>强检计量器具全检且在有效期内</w:t>
            </w:r>
          </w:p>
        </w:tc>
        <w:tc>
          <w:tcPr>
            <w:tcW w:w="2814" w:type="dxa"/>
          </w:tcPr>
          <w:p>
            <w:pPr>
              <w:rPr>
                <w:color w:val="000000" w:themeColor="text1"/>
                <w:szCs w:val="21"/>
              </w:rPr>
            </w:pPr>
            <w:r>
              <w:rPr>
                <w:rFonts w:hint="eastAsia"/>
                <w:color w:val="000000" w:themeColor="text1"/>
                <w:szCs w:val="21"/>
              </w:rPr>
              <w:t>符合</w:t>
            </w:r>
          </w:p>
          <w:p>
            <w:pPr>
              <w:rPr>
                <w:color w:val="000000" w:themeColor="text1"/>
                <w:szCs w:val="21"/>
              </w:rPr>
            </w:pPr>
            <w:r>
              <w:rPr>
                <w:rFonts w:hint="eastAsia"/>
                <w:color w:val="000000" w:themeColor="text1"/>
                <w:szCs w:val="21"/>
              </w:rPr>
              <w:t>不符合（需说明处置措施）</w:t>
            </w:r>
          </w:p>
          <w:p>
            <w:pPr>
              <w:rPr>
                <w:color w:val="000000" w:themeColor="text1"/>
                <w:szCs w:val="21"/>
              </w:rPr>
            </w:pPr>
            <w:r>
              <w:rPr>
                <w:rFonts w:hint="eastAsia"/>
                <w:color w:val="000000" w:themeColor="text1"/>
                <w:szCs w:val="21"/>
              </w:rPr>
              <w:t>是</w:t>
            </w:r>
          </w:p>
          <w:p>
            <w:pPr>
              <w:rPr>
                <w:color w:val="000000" w:themeColor="text1"/>
                <w:szCs w:val="21"/>
              </w:rPr>
            </w:pPr>
            <w:r>
              <w:rPr>
                <w:rFonts w:hint="eastAsia"/>
                <w:color w:val="000000" w:themeColor="text1"/>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bookmarkStart w:id="2" w:name="_GoBack"/>
            <w:bookmarkEnd w:id="2"/>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702272" behindDoc="0" locked="0" layoutInCell="1" allowOverlap="1">
                  <wp:simplePos x="0" y="0"/>
                  <wp:positionH relativeFrom="column">
                    <wp:posOffset>4034155</wp:posOffset>
                  </wp:positionH>
                  <wp:positionV relativeFrom="paragraph">
                    <wp:posOffset>111760</wp:posOffset>
                  </wp:positionV>
                  <wp:extent cx="411480" cy="381000"/>
                  <wp:effectExtent l="0" t="0" r="0" b="0"/>
                  <wp:wrapNone/>
                  <wp:docPr id="2" name="图片 5"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45e69cce4380e02713697e955d1ffd9"/>
                          <pic:cNvPicPr>
                            <a:picLocks noChangeAspect="1"/>
                          </pic:cNvPicPr>
                        </pic:nvPicPr>
                        <pic:blipFill>
                          <a:blip r:embed="rId5"/>
                          <a:stretch>
                            <a:fillRect/>
                          </a:stretch>
                        </pic:blipFill>
                        <pic:spPr>
                          <a:xfrm>
                            <a:off x="0" y="0"/>
                            <a:ext cx="411480" cy="38100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2021.03.14</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194A2E"/>
    <w:rsid w:val="333B587E"/>
    <w:rsid w:val="45053B14"/>
    <w:rsid w:val="49D9229C"/>
    <w:rsid w:val="6FC64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2021-03-14T06:22:47Z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