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0185-2021-QEO</w:t>
      </w:r>
      <w:bookmarkEnd w:id="0"/>
    </w:p>
    <w:p>
      <w:pPr>
        <w:snapToGrid w:val="0"/>
        <w:spacing w:line="360" w:lineRule="auto"/>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36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西安西自仪检测技术有限公司</w:t>
      </w:r>
      <w:bookmarkEnd w:id="1"/>
    </w:p>
    <w:p>
      <w:pPr>
        <w:pStyle w:val="2"/>
        <w:spacing w:line="360" w:lineRule="auto"/>
        <w:ind w:firstLine="632" w:firstLineChars="286"/>
        <w:rPr>
          <w:rFonts w:hint="eastAsia"/>
          <w:b/>
          <w:color w:val="000000" w:themeColor="text1"/>
          <w:sz w:val="22"/>
          <w:szCs w:val="22"/>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Xi 'an Xiziyi Testing Technology Co. , Ltd.</w:t>
      </w:r>
    </w:p>
    <w:p>
      <w:pPr>
        <w:pStyle w:val="2"/>
        <w:spacing w:line="36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陕西省西安市高新区丈八街办高新六路52号立人科技园C座一层西</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710000</w:t>
      </w:r>
      <w:bookmarkEnd w:id="4"/>
    </w:p>
    <w:p>
      <w:pPr>
        <w:pStyle w:val="2"/>
        <w:spacing w:line="360" w:lineRule="auto"/>
        <w:ind w:firstLine="632" w:firstLineChars="286"/>
        <w:rPr>
          <w:rFonts w:hint="eastAsia"/>
          <w:b/>
          <w:color w:val="000000" w:themeColor="text1"/>
          <w:sz w:val="22"/>
          <w:szCs w:val="22"/>
        </w:rPr>
      </w:pPr>
      <w:r>
        <w:rPr>
          <w:rFonts w:hint="eastAsia"/>
          <w:b/>
          <w:color w:val="000000" w:themeColor="text1"/>
          <w:sz w:val="22"/>
          <w:szCs w:val="22"/>
        </w:rPr>
        <w:t>(英文)：West floor, building C, Liren Science and Technology Park, 52 Gaoxin 6th road, Zhangba Street office, Xi'an High-tech Zone, Shaanxi Province</w:t>
      </w:r>
    </w:p>
    <w:p>
      <w:pPr>
        <w:pStyle w:val="2"/>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陕西省西安市高新区丈八街办高新六路52号立人科技园C座一层西</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710000</w:t>
      </w:r>
      <w:bookmarkEnd w:id="6"/>
    </w:p>
    <w:p>
      <w:pPr>
        <w:pStyle w:val="2"/>
        <w:spacing w:line="360" w:lineRule="auto"/>
        <w:ind w:firstLine="632" w:firstLineChars="286"/>
        <w:rPr>
          <w:b/>
          <w:color w:val="000000" w:themeColor="text1"/>
          <w:sz w:val="22"/>
          <w:szCs w:val="22"/>
          <w:u w:val="single"/>
        </w:rPr>
      </w:pPr>
      <w:r>
        <w:rPr>
          <w:rFonts w:hint="eastAsia"/>
          <w:b/>
          <w:color w:val="000000" w:themeColor="text1"/>
          <w:sz w:val="22"/>
          <w:szCs w:val="22"/>
        </w:rPr>
        <w:t>(英文)：West floor, building C, Liren Science and Technology Park, 52 Gaoxin 6th road, Zhangba Street office, Xi'an High-tech Zone, Shaanxi Province</w:t>
      </w:r>
    </w:p>
    <w:p>
      <w:pPr>
        <w:pStyle w:val="2"/>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36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916101047578400523</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18092761581</w:t>
      </w:r>
      <w:bookmarkEnd w:id="9"/>
    </w:p>
    <w:p>
      <w:pPr>
        <w:pStyle w:val="2"/>
        <w:spacing w:before="120" w:beforeLines="50" w:line="36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赵平</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赵洁</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25</w:t>
      </w:r>
      <w:bookmarkEnd w:id="12"/>
    </w:p>
    <w:p>
      <w:pPr>
        <w:pStyle w:val="2"/>
        <w:spacing w:line="36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auto"/>
        <w:ind w:firstLine="0"/>
        <w:rPr>
          <w:b/>
          <w:color w:val="000000" w:themeColor="text1"/>
          <w:sz w:val="22"/>
          <w:szCs w:val="22"/>
          <w:u w:val="single"/>
        </w:rPr>
      </w:pPr>
      <w:bookmarkStart w:id="15" w:name="审核范围"/>
      <w:r>
        <w:rPr>
          <w:rFonts w:hint="eastAsia"/>
          <w:b/>
          <w:color w:val="000000" w:themeColor="text1"/>
          <w:sz w:val="22"/>
          <w:szCs w:val="22"/>
        </w:rPr>
        <w:t>Q：计量器具的检定、校准、技术咨询及服务；仪器仪表的维护</w:t>
      </w:r>
    </w:p>
    <w:p>
      <w:pPr>
        <w:pStyle w:val="2"/>
        <w:spacing w:line="360" w:lineRule="auto"/>
        <w:ind w:firstLine="0"/>
        <w:rPr>
          <w:rFonts w:hint="eastAsia"/>
          <w:b/>
          <w:color w:val="000000" w:themeColor="text1"/>
          <w:sz w:val="22"/>
          <w:szCs w:val="22"/>
        </w:rPr>
      </w:pPr>
      <w:r>
        <w:rPr>
          <w:rFonts w:hint="eastAsia"/>
          <w:b/>
          <w:color w:val="000000" w:themeColor="text1"/>
          <w:sz w:val="22"/>
          <w:szCs w:val="22"/>
        </w:rPr>
        <w:t>E：计量器具的检定、校准、技术咨询及服务；仪器仪表的维护所涉及场所的相关环境管理活动</w:t>
      </w:r>
    </w:p>
    <w:p>
      <w:pPr>
        <w:pStyle w:val="2"/>
        <w:spacing w:line="360" w:lineRule="auto"/>
        <w:ind w:firstLine="0"/>
        <w:rPr>
          <w:rFonts w:hint="eastAsia"/>
          <w:b/>
          <w:color w:val="000000" w:themeColor="text1"/>
          <w:sz w:val="22"/>
          <w:szCs w:val="22"/>
        </w:rPr>
      </w:pPr>
      <w:r>
        <w:rPr>
          <w:rFonts w:hint="eastAsia"/>
          <w:b/>
          <w:color w:val="000000" w:themeColor="text1"/>
          <w:sz w:val="22"/>
          <w:szCs w:val="22"/>
        </w:rPr>
        <w:t>O：计量器具的检定、校准、技术咨询及服务；仪器仪表的维护所涉及场所的相关职业健康安全管理活动</w:t>
      </w:r>
      <w:bookmarkEnd w:id="15"/>
    </w:p>
    <w:p>
      <w:pPr>
        <w:pStyle w:val="2"/>
        <w:spacing w:line="360" w:lineRule="auto"/>
        <w:ind w:firstLine="0"/>
        <w:rPr>
          <w:rFonts w:hint="eastAsia"/>
          <w:b/>
          <w:color w:val="000000" w:themeColor="text1"/>
          <w:sz w:val="22"/>
          <w:szCs w:val="22"/>
        </w:rPr>
      </w:pPr>
      <w:r>
        <w:rPr>
          <w:rFonts w:hint="eastAsia"/>
          <w:b/>
          <w:color w:val="000000" w:themeColor="text1"/>
          <w:sz w:val="22"/>
          <w:szCs w:val="22"/>
        </w:rPr>
        <w:sym w:font="Wingdings 2" w:char="0052"/>
      </w:r>
      <w:r>
        <w:rPr>
          <w:rFonts w:hint="eastAsia"/>
          <w:b/>
          <w:color w:val="000000" w:themeColor="text1"/>
          <w:sz w:val="22"/>
          <w:szCs w:val="22"/>
        </w:rPr>
        <w:t>QMS（英文：）：Calibration, calibration, technical consultation and service of measuring instruments; maintenance of instruments and meters</w:t>
      </w:r>
    </w:p>
    <w:p>
      <w:pPr>
        <w:pStyle w:val="2"/>
        <w:spacing w:line="360" w:lineRule="auto"/>
        <w:ind w:firstLine="0"/>
        <w:rPr>
          <w:b/>
          <w:color w:val="000000" w:themeColor="text1"/>
          <w:sz w:val="22"/>
          <w:szCs w:val="22"/>
          <w:u w:val="single"/>
        </w:rPr>
      </w:pPr>
    </w:p>
    <w:p>
      <w:pPr>
        <w:pStyle w:val="2"/>
        <w:spacing w:line="360" w:lineRule="auto"/>
        <w:ind w:firstLine="0"/>
        <w:rPr>
          <w:rFonts w:hint="eastAsia"/>
          <w:b/>
          <w:color w:val="000000" w:themeColor="text1"/>
          <w:sz w:val="22"/>
          <w:szCs w:val="22"/>
        </w:rPr>
      </w:pPr>
      <w:r>
        <w:rPr>
          <w:rFonts w:hint="eastAsia"/>
          <w:b/>
          <w:color w:val="000000" w:themeColor="text1"/>
          <w:sz w:val="22"/>
          <w:szCs w:val="22"/>
        </w:rPr>
        <w:sym w:font="Wingdings 2" w:char="0052"/>
      </w:r>
      <w:r>
        <w:rPr>
          <w:rFonts w:hint="eastAsia"/>
          <w:b/>
          <w:color w:val="000000" w:themeColor="text1"/>
          <w:sz w:val="22"/>
          <w:szCs w:val="22"/>
        </w:rPr>
        <w:t>EMS（英文：）：Calibration, calibration, technical consultation and service of measuring instruments; related environmental management activities of the places involved in the maintenance of instruments</w:t>
      </w:r>
    </w:p>
    <w:p>
      <w:pPr>
        <w:pStyle w:val="2"/>
        <w:spacing w:line="360" w:lineRule="auto"/>
        <w:ind w:firstLine="0"/>
        <w:rPr>
          <w:rFonts w:hint="eastAsia"/>
          <w:b/>
          <w:color w:val="000000" w:themeColor="text1"/>
          <w:sz w:val="22"/>
          <w:szCs w:val="22"/>
        </w:rPr>
      </w:pPr>
    </w:p>
    <w:p>
      <w:pPr>
        <w:pStyle w:val="2"/>
        <w:spacing w:line="360" w:lineRule="auto"/>
        <w:ind w:firstLine="0"/>
        <w:rPr>
          <w:rFonts w:hint="eastAsia"/>
          <w:b/>
          <w:color w:val="000000" w:themeColor="text1"/>
          <w:sz w:val="22"/>
          <w:szCs w:val="22"/>
        </w:rPr>
      </w:pPr>
      <w:r>
        <w:rPr>
          <w:rFonts w:hint="eastAsia"/>
          <w:b/>
          <w:color w:val="000000" w:themeColor="text1"/>
          <w:sz w:val="22"/>
          <w:szCs w:val="22"/>
        </w:rPr>
        <w:sym w:font="Wingdings 2" w:char="0052"/>
      </w:r>
      <w:r>
        <w:rPr>
          <w:rFonts w:hint="eastAsia"/>
          <w:b/>
          <w:color w:val="000000" w:themeColor="text1"/>
          <w:sz w:val="22"/>
          <w:szCs w:val="22"/>
        </w:rPr>
        <w:t>OHSMS（英文：）Calibration, calibration, technical consultation and service of measuring instruments; related Occupational Health and safety management activities related to the maintenance of instruments and meters</w:t>
      </w:r>
    </w:p>
    <w:p>
      <w:pPr>
        <w:pStyle w:val="2"/>
        <w:spacing w:line="360" w:lineRule="auto"/>
        <w:ind w:firstLine="0"/>
        <w:rPr>
          <w:b/>
          <w:color w:val="000000" w:themeColor="text1"/>
          <w:sz w:val="22"/>
          <w:szCs w:val="22"/>
          <w:u w:val="single"/>
        </w:rPr>
      </w:pPr>
      <w:bookmarkStart w:id="16" w:name="_GoBack"/>
      <w:bookmarkEnd w:id="16"/>
      <w:r>
        <w:rPr>
          <w:rFonts w:hint="eastAsia"/>
          <w:b/>
          <w:color w:val="000000" w:themeColor="text1"/>
          <w:sz w:val="22"/>
          <w:szCs w:val="22"/>
        </w:rPr>
        <w:drawing>
          <wp:anchor distT="0" distB="0" distL="114300" distR="114300" simplePos="0" relativeHeight="251658240" behindDoc="0" locked="0" layoutInCell="1" allowOverlap="1">
            <wp:simplePos x="0" y="0"/>
            <wp:positionH relativeFrom="column">
              <wp:posOffset>-635000</wp:posOffset>
            </wp:positionH>
            <wp:positionV relativeFrom="paragraph">
              <wp:posOffset>-850900</wp:posOffset>
            </wp:positionV>
            <wp:extent cx="7475855" cy="10457815"/>
            <wp:effectExtent l="0" t="0" r="4445" b="6985"/>
            <wp:wrapNone/>
            <wp:docPr id="3" name="图片 3" descr="扫描全能王 2021-03-19 20.33_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1-03-19 20.33_23"/>
                    <pic:cNvPicPr>
                      <a:picLocks noChangeAspect="1"/>
                    </pic:cNvPicPr>
                  </pic:nvPicPr>
                  <pic:blipFill>
                    <a:blip r:embed="rId5"/>
                    <a:stretch>
                      <a:fillRect/>
                    </a:stretch>
                  </pic:blipFill>
                  <pic:spPr>
                    <a:xfrm>
                      <a:off x="0" y="0"/>
                      <a:ext cx="7475855" cy="10457815"/>
                    </a:xfrm>
                    <a:prstGeom prst="rect">
                      <a:avLst/>
                    </a:prstGeom>
                  </pic:spPr>
                </pic:pic>
              </a:graphicData>
            </a:graphic>
          </wp:anchor>
        </w:drawing>
      </w:r>
    </w:p>
    <w:p>
      <w:pPr>
        <w:pStyle w:val="2"/>
        <w:spacing w:line="360" w:lineRule="auto"/>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auto"/>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rFonts w:hint="eastAsia"/>
          <w:b/>
          <w:color w:val="000000" w:themeColor="text1"/>
          <w:sz w:val="22"/>
          <w:szCs w:val="22"/>
        </w:rPr>
      </w:pPr>
      <w:r>
        <w:rPr>
          <w:rFonts w:hint="eastAsia"/>
          <w:b/>
          <w:color w:val="000000" w:themeColor="text1"/>
          <w:sz w:val="22"/>
          <w:szCs w:val="22"/>
        </w:rPr>
        <w:t>日期：                                      日期：</w:t>
      </w:r>
    </w:p>
    <w:p>
      <w:pPr>
        <w:pStyle w:val="2"/>
        <w:spacing w:line="360" w:lineRule="exact"/>
        <w:ind w:firstLine="0"/>
        <w:rPr>
          <w:rFonts w:hint="eastAsia"/>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4933387"/>
    <w:rsid w:val="3D6A5F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2</TotalTime>
  <ScaleCrop>false</ScaleCrop>
  <LinksUpToDate>false</LinksUpToDate>
  <CharactersWithSpaces>987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郭力</cp:lastModifiedBy>
  <cp:lastPrinted>2019-05-13T03:13:00Z</cp:lastPrinted>
  <dcterms:modified xsi:type="dcterms:W3CDTF">2021-03-19T12:56:46Z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