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998"/>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22" w:type="dxa"/>
            <w:vMerge w:val="restart"/>
            <w:vAlign w:val="center"/>
          </w:tcPr>
          <w:p>
            <w:pPr>
              <w:spacing w:before="120" w:line="360" w:lineRule="auto"/>
              <w:jc w:val="center"/>
              <w:rPr>
                <w:sz w:val="24"/>
                <w:szCs w:val="24"/>
              </w:rPr>
            </w:pPr>
            <w:r>
              <w:rPr>
                <w:rFonts w:hint="eastAsia"/>
                <w:sz w:val="24"/>
                <w:szCs w:val="24"/>
              </w:rPr>
              <w:t>过程与活动、</w:t>
            </w:r>
          </w:p>
          <w:p>
            <w:pPr>
              <w:spacing w:line="360" w:lineRule="auto"/>
              <w:jc w:val="center"/>
            </w:pPr>
            <w:r>
              <w:rPr>
                <w:rFonts w:hint="eastAsia"/>
                <w:sz w:val="24"/>
                <w:szCs w:val="24"/>
              </w:rPr>
              <w:t>抽样计划</w:t>
            </w:r>
          </w:p>
        </w:tc>
        <w:tc>
          <w:tcPr>
            <w:tcW w:w="998" w:type="dxa"/>
            <w:vMerge w:val="restart"/>
            <w:vAlign w:val="center"/>
          </w:tcPr>
          <w:p>
            <w:pPr>
              <w:spacing w:line="360" w:lineRule="auto"/>
              <w:rPr>
                <w:sz w:val="24"/>
                <w:szCs w:val="24"/>
              </w:rPr>
            </w:pPr>
            <w:r>
              <w:rPr>
                <w:rFonts w:hint="eastAsia"/>
                <w:sz w:val="24"/>
                <w:szCs w:val="24"/>
              </w:rPr>
              <w:t>涉及</w:t>
            </w:r>
          </w:p>
          <w:p>
            <w:pPr>
              <w:spacing w:line="360" w:lineRule="auto"/>
            </w:pPr>
            <w:r>
              <w:rPr>
                <w:rFonts w:hint="eastAsia"/>
                <w:sz w:val="24"/>
                <w:szCs w:val="24"/>
              </w:rPr>
              <w:t>条款</w:t>
            </w:r>
          </w:p>
        </w:tc>
        <w:tc>
          <w:tcPr>
            <w:tcW w:w="10004" w:type="dxa"/>
            <w:vAlign w:val="center"/>
          </w:tcPr>
          <w:p>
            <w:pPr>
              <w:spacing w:line="360" w:lineRule="auto"/>
              <w:rPr>
                <w:rFonts w:hint="eastAsia" w:eastAsia="宋体"/>
                <w:sz w:val="24"/>
                <w:szCs w:val="24"/>
                <w:lang w:eastAsia="zh-CN"/>
              </w:rPr>
            </w:pPr>
            <w:r>
              <w:rPr>
                <w:rFonts w:hint="eastAsia"/>
                <w:sz w:val="24"/>
                <w:szCs w:val="24"/>
              </w:rPr>
              <w:t>受审核部门：</w:t>
            </w:r>
            <w:r>
              <w:rPr>
                <w:rFonts w:hint="eastAsia"/>
                <w:sz w:val="24"/>
                <w:szCs w:val="24"/>
                <w:lang w:val="en-US" w:eastAsia="zh-CN"/>
              </w:rPr>
              <w:t>综合办公室/财务部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eastAsia="zh-CN"/>
              </w:rPr>
              <w:t>赵洁</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eastAsia="zh-CN"/>
              </w:rPr>
              <w:t>孙玲梅</w:t>
            </w:r>
          </w:p>
        </w:tc>
        <w:tc>
          <w:tcPr>
            <w:tcW w:w="1585" w:type="dxa"/>
            <w:vMerge w:val="restart"/>
            <w:vAlign w:val="center"/>
          </w:tcPr>
          <w:p>
            <w:pPr>
              <w:spacing w:line="36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22" w:type="dxa"/>
            <w:vMerge w:val="continue"/>
            <w:vAlign w:val="center"/>
          </w:tcPr>
          <w:p>
            <w:pPr>
              <w:spacing w:line="360" w:lineRule="auto"/>
            </w:pPr>
          </w:p>
        </w:tc>
        <w:tc>
          <w:tcPr>
            <w:tcW w:w="998" w:type="dxa"/>
            <w:vMerge w:val="continue"/>
            <w:vAlign w:val="center"/>
          </w:tcPr>
          <w:p>
            <w:pPr>
              <w:spacing w:line="360" w:lineRule="auto"/>
            </w:pPr>
          </w:p>
        </w:tc>
        <w:tc>
          <w:tcPr>
            <w:tcW w:w="10004" w:type="dxa"/>
            <w:vAlign w:val="center"/>
          </w:tcPr>
          <w:p>
            <w:pPr>
              <w:spacing w:before="120" w:line="360" w:lineRule="auto"/>
              <w:rPr>
                <w:rFonts w:hint="default" w:eastAsia="宋体"/>
                <w:sz w:val="24"/>
                <w:szCs w:val="24"/>
                <w:lang w:val="en-US" w:eastAsia="zh-CN"/>
              </w:rPr>
            </w:pPr>
            <w:r>
              <w:rPr>
                <w:rFonts w:hint="eastAsia"/>
                <w:sz w:val="24"/>
                <w:szCs w:val="24"/>
              </w:rPr>
              <w:t>审核员：</w:t>
            </w:r>
            <w:r>
              <w:rPr>
                <w:rFonts w:hint="eastAsia"/>
                <w:sz w:val="24"/>
                <w:szCs w:val="24"/>
                <w:lang w:val="en-US" w:eastAsia="zh-CN"/>
              </w:rPr>
              <w:t xml:space="preserve">郭力         </w:t>
            </w:r>
            <w:r>
              <w:rPr>
                <w:rFonts w:hint="eastAsia"/>
                <w:sz w:val="24"/>
                <w:szCs w:val="24"/>
              </w:rPr>
              <w:t>审核时间：202</w:t>
            </w:r>
            <w:r>
              <w:rPr>
                <w:rFonts w:hint="eastAsia"/>
                <w:sz w:val="24"/>
                <w:szCs w:val="24"/>
                <w:lang w:val="en-US" w:eastAsia="zh-CN"/>
              </w:rPr>
              <w:t>1</w:t>
            </w:r>
            <w:r>
              <w:rPr>
                <w:rFonts w:hint="eastAsia"/>
                <w:sz w:val="24"/>
                <w:szCs w:val="24"/>
              </w:rPr>
              <w:t>年</w:t>
            </w:r>
            <w:r>
              <w:rPr>
                <w:rFonts w:hint="eastAsia"/>
                <w:sz w:val="24"/>
                <w:szCs w:val="24"/>
                <w:lang w:val="en-US" w:eastAsia="zh-CN"/>
              </w:rPr>
              <w:t>3</w:t>
            </w:r>
            <w:r>
              <w:rPr>
                <w:rFonts w:hint="eastAsia"/>
                <w:sz w:val="24"/>
                <w:szCs w:val="24"/>
              </w:rPr>
              <w:t>月</w:t>
            </w:r>
            <w:r>
              <w:rPr>
                <w:rFonts w:hint="eastAsia"/>
                <w:sz w:val="24"/>
                <w:szCs w:val="24"/>
                <w:lang w:val="en-US" w:eastAsia="zh-CN"/>
              </w:rPr>
              <w:t>18</w:t>
            </w:r>
            <w:r>
              <w:rPr>
                <w:rFonts w:hint="eastAsia"/>
                <w:sz w:val="24"/>
                <w:szCs w:val="24"/>
              </w:rPr>
              <w:t>日</w:t>
            </w:r>
          </w:p>
        </w:tc>
        <w:tc>
          <w:tcPr>
            <w:tcW w:w="1585" w:type="dxa"/>
            <w:vMerge w:val="continue"/>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22" w:type="dxa"/>
            <w:vMerge w:val="continue"/>
            <w:vAlign w:val="center"/>
          </w:tcPr>
          <w:p>
            <w:pPr>
              <w:spacing w:line="360" w:lineRule="auto"/>
            </w:pPr>
          </w:p>
        </w:tc>
        <w:tc>
          <w:tcPr>
            <w:tcW w:w="998" w:type="dxa"/>
            <w:vMerge w:val="continue"/>
            <w:vAlign w:val="center"/>
          </w:tcPr>
          <w:p>
            <w:pPr>
              <w:spacing w:line="360" w:lineRule="auto"/>
            </w:pPr>
          </w:p>
        </w:tc>
        <w:tc>
          <w:tcPr>
            <w:tcW w:w="10004" w:type="dxa"/>
            <w:vAlign w:val="center"/>
          </w:tcPr>
          <w:p>
            <w:pPr>
              <w:adjustRightInd w:val="0"/>
              <w:snapToGrid w:val="0"/>
              <w:ind w:right="105" w:rightChars="50"/>
              <w:textAlignment w:val="baseline"/>
              <w:rPr>
                <w:rFonts w:hint="default" w:ascii="宋体" w:hAnsi="宋体" w:eastAsia="宋体" w:cs="Arial"/>
                <w:color w:val="auto"/>
                <w:spacing w:val="-6"/>
                <w:sz w:val="21"/>
                <w:szCs w:val="21"/>
                <w:lang w:val="en-US" w:eastAsia="zh-CN"/>
              </w:rPr>
            </w:pPr>
            <w:r>
              <w:rPr>
                <w:rFonts w:hint="eastAsia"/>
                <w:sz w:val="24"/>
                <w:szCs w:val="24"/>
              </w:rPr>
              <w:t>审核条款</w:t>
            </w:r>
            <w:r>
              <w:rPr>
                <w:rFonts w:hint="eastAsia" w:ascii="宋体" w:hAnsi="宋体" w:cs="Arial"/>
                <w:color w:val="auto"/>
                <w:sz w:val="21"/>
                <w:szCs w:val="21"/>
                <w:lang w:val="en-US" w:eastAsia="zh-CN"/>
              </w:rPr>
              <w:t>QE:</w:t>
            </w:r>
            <w:r>
              <w:rPr>
                <w:rFonts w:hint="eastAsia" w:ascii="宋体" w:hAnsi="宋体" w:cs="Arial"/>
                <w:color w:val="auto"/>
                <w:sz w:val="21"/>
                <w:szCs w:val="21"/>
              </w:rPr>
              <w:t>7.1.2、7.1.6、7.2、7.3、</w:t>
            </w:r>
            <w:r>
              <w:rPr>
                <w:rFonts w:hint="eastAsia" w:ascii="宋体" w:hAnsi="宋体" w:cs="Arial"/>
                <w:color w:val="auto"/>
                <w:spacing w:val="-6"/>
                <w:sz w:val="21"/>
                <w:szCs w:val="21"/>
              </w:rPr>
              <w:t>7.4</w:t>
            </w:r>
            <w:r>
              <w:rPr>
                <w:rFonts w:hint="eastAsia" w:ascii="宋体" w:hAnsi="宋体" w:cs="Arial"/>
                <w:color w:val="auto"/>
                <w:spacing w:val="-6"/>
                <w:sz w:val="21"/>
                <w:szCs w:val="21"/>
                <w:lang w:eastAsia="zh-CN"/>
              </w:rPr>
              <w:t>、</w:t>
            </w:r>
            <w:r>
              <w:rPr>
                <w:rFonts w:hint="eastAsia" w:ascii="宋体" w:hAnsi="宋体" w:cs="Arial"/>
                <w:color w:val="auto"/>
                <w:sz w:val="21"/>
                <w:szCs w:val="21"/>
              </w:rPr>
              <w:t>7.5.1、7.5.2</w:t>
            </w:r>
            <w:r>
              <w:rPr>
                <w:rFonts w:hint="eastAsia" w:ascii="宋体" w:hAnsi="宋体" w:cs="Arial"/>
                <w:color w:val="auto"/>
                <w:spacing w:val="-6"/>
                <w:sz w:val="21"/>
                <w:szCs w:val="21"/>
              </w:rPr>
              <w:t>、7.5.3</w:t>
            </w:r>
            <w:r>
              <w:rPr>
                <w:rFonts w:hint="eastAsia" w:ascii="宋体" w:hAnsi="宋体" w:cs="Arial"/>
                <w:color w:val="auto"/>
                <w:spacing w:val="-6"/>
                <w:sz w:val="21"/>
                <w:szCs w:val="21"/>
                <w:lang w:eastAsia="zh-CN"/>
              </w:rPr>
              <w:t>、</w:t>
            </w:r>
            <w:r>
              <w:rPr>
                <w:rFonts w:hint="eastAsia" w:ascii="宋体" w:hAnsi="宋体" w:cs="Arial"/>
                <w:color w:val="auto"/>
                <w:spacing w:val="-6"/>
                <w:sz w:val="21"/>
                <w:szCs w:val="21"/>
                <w:lang w:val="en-US" w:eastAsia="zh-CN"/>
              </w:rPr>
              <w:t>9.1.3</w:t>
            </w:r>
          </w:p>
          <w:p>
            <w:pPr>
              <w:adjustRightInd w:val="0"/>
              <w:snapToGrid w:val="0"/>
              <w:spacing w:line="240" w:lineRule="auto"/>
              <w:ind w:right="105" w:rightChars="50"/>
              <w:textAlignment w:val="baseline"/>
              <w:rPr>
                <w:sz w:val="24"/>
                <w:szCs w:val="24"/>
              </w:rPr>
            </w:pPr>
            <w:r>
              <w:rPr>
                <w:rFonts w:hint="eastAsia" w:ascii="宋体" w:hAnsi="宋体" w:cs="Arial"/>
                <w:color w:val="auto"/>
                <w:spacing w:val="-6"/>
                <w:sz w:val="21"/>
                <w:szCs w:val="21"/>
                <w:lang w:val="en-US" w:eastAsia="zh-CN"/>
              </w:rPr>
              <w:t xml:space="preserve">            E：</w:t>
            </w:r>
            <w:r>
              <w:rPr>
                <w:rFonts w:hint="eastAsia" w:asciiTheme="minorEastAsia" w:hAnsiTheme="minorEastAsia" w:eastAsiaTheme="minorEastAsia" w:cstheme="minorEastAsia"/>
                <w:b w:val="0"/>
                <w:bCs w:val="0"/>
                <w:color w:val="auto"/>
                <w:sz w:val="21"/>
                <w:szCs w:val="21"/>
                <w:lang w:val="en-US" w:eastAsia="zh-CN"/>
              </w:rPr>
              <w:t>6.1.3、6.1.4、6.2.1、6.2.2</w:t>
            </w:r>
          </w:p>
        </w:tc>
        <w:tc>
          <w:tcPr>
            <w:tcW w:w="1585" w:type="dxa"/>
            <w:vMerge w:val="continue"/>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rPr>
                <w:rFonts w:ascii="Times New Roman" w:hAnsi="Times New Roman" w:eastAsia="宋体" w:cs="Times New Roman"/>
                <w:kern w:val="2"/>
                <w:sz w:val="21"/>
                <w:lang w:val="en-US" w:eastAsia="zh-CN" w:bidi="ar-SA"/>
              </w:rPr>
            </w:pPr>
            <w:r>
              <w:rPr>
                <w:rFonts w:hint="eastAsia" w:asciiTheme="minorEastAsia" w:hAnsiTheme="minorEastAsia" w:eastAsiaTheme="minorEastAsia" w:cstheme="minorEastAsia"/>
                <w:sz w:val="21"/>
                <w:szCs w:val="21"/>
                <w:highlight w:val="none"/>
                <w:lang w:val="en-US" w:eastAsia="zh-CN"/>
              </w:rPr>
              <w:t>环境因素识别及控制措施</w:t>
            </w:r>
          </w:p>
        </w:tc>
        <w:tc>
          <w:tcPr>
            <w:tcW w:w="998" w:type="dxa"/>
            <w:vAlign w:val="top"/>
          </w:tcPr>
          <w:p>
            <w:pPr>
              <w:rPr>
                <w:rFonts w:ascii="Times New Roman" w:hAnsi="Times New Roman" w:eastAsia="宋体" w:cs="Times New Roman"/>
                <w:kern w:val="2"/>
                <w:sz w:val="21"/>
                <w:lang w:val="en-US" w:eastAsia="zh-CN" w:bidi="ar-SA"/>
              </w:rPr>
            </w:pPr>
            <w:r>
              <w:rPr>
                <w:rFonts w:hint="eastAsia" w:asciiTheme="minorEastAsia" w:hAnsiTheme="minorEastAsia" w:eastAsiaTheme="minorEastAsia" w:cstheme="minorEastAsia"/>
                <w:sz w:val="21"/>
                <w:szCs w:val="21"/>
                <w:highlight w:val="none"/>
                <w:lang w:val="en-US" w:eastAsia="zh-CN"/>
              </w:rPr>
              <w:t>E:6.1.4</w:t>
            </w:r>
          </w:p>
        </w:tc>
        <w:tc>
          <w:tcPr>
            <w:tcW w:w="10004" w:type="dxa"/>
            <w:vAlign w:val="top"/>
          </w:tcPr>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编制《</w:t>
            </w:r>
            <w:r>
              <w:rPr>
                <w:rFonts w:hint="eastAsia" w:ascii="宋体" w:hAnsi="宋体" w:cs="宋体"/>
                <w:szCs w:val="21"/>
              </w:rPr>
              <w:t>环境因素识别和评价控制程序</w:t>
            </w:r>
            <w:r>
              <w:rPr>
                <w:rFonts w:hint="eastAsia" w:ascii="宋体" w:hAnsi="宋体" w:cs="宋体"/>
                <w:szCs w:val="21"/>
                <w:lang w:val="en-US" w:eastAsia="zh-CN"/>
              </w:rPr>
              <w:t>》、《风险和机遇分析、评价和应对措施的确定程序》等程序，按照相关程序执行。</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提供《环境因素识别排查表》识别了办公区、</w:t>
            </w:r>
            <w:r>
              <w:rPr>
                <w:rFonts w:hint="eastAsia" w:ascii="宋体" w:hAnsi="宋体" w:cs="宋体"/>
                <w:szCs w:val="21"/>
                <w:lang w:eastAsia="zh-CN"/>
              </w:rPr>
              <w:t>计量器具的检定、校准、技术咨询及服务；仪器仪表的维护</w:t>
            </w:r>
            <w:r>
              <w:rPr>
                <w:rFonts w:hint="eastAsia" w:ascii="宋体" w:hAnsi="宋体" w:cs="宋体"/>
                <w:szCs w:val="21"/>
              </w:rPr>
              <w:t>过程</w:t>
            </w:r>
            <w:r>
              <w:rPr>
                <w:rFonts w:hint="eastAsia" w:ascii="宋体" w:hAnsi="宋体" w:cs="宋体"/>
                <w:szCs w:val="21"/>
                <w:lang w:val="en-US" w:eastAsia="zh-CN"/>
              </w:rPr>
              <w:t>等环境因素包括：水的消耗、电的消耗、办公用</w:t>
            </w:r>
            <w:r>
              <w:rPr>
                <w:rFonts w:hint="eastAsia" w:ascii="宋体" w:hAnsi="宋体" w:eastAsia="宋体" w:cs="宋体"/>
                <w:szCs w:val="21"/>
                <w:lang w:val="en-US" w:eastAsia="zh-CN"/>
              </w:rPr>
              <w:t>品的消耗、汽车尾气的排放、</w:t>
            </w:r>
            <w:r>
              <w:rPr>
                <w:rFonts w:hint="eastAsia" w:ascii="宋体" w:hAnsi="宋体" w:cs="宋体"/>
                <w:szCs w:val="21"/>
                <w:lang w:val="en-US" w:eastAsia="zh-CN"/>
              </w:rPr>
              <w:t>生活垃圾的排放、纸箱、包装物的废弃物、电灯产生的废弃物等；</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提供《重要环境因素清</w:t>
            </w:r>
            <w:r>
              <w:rPr>
                <w:rFonts w:hint="eastAsia" w:ascii="宋体" w:hAnsi="宋体" w:eastAsia="宋体" w:cs="宋体"/>
                <w:szCs w:val="21"/>
                <w:lang w:val="en-US" w:eastAsia="zh-CN"/>
              </w:rPr>
              <w:t>单》</w:t>
            </w:r>
            <w:r>
              <w:rPr>
                <w:rFonts w:hint="eastAsia" w:ascii="宋体" w:hAnsi="宋体" w:cs="宋体"/>
                <w:szCs w:val="21"/>
                <w:lang w:val="en-US" w:eastAsia="zh-CN"/>
              </w:rPr>
              <w:t>2</w:t>
            </w:r>
            <w:r>
              <w:rPr>
                <w:rFonts w:hint="eastAsia" w:ascii="宋体" w:hAnsi="宋体" w:eastAsia="宋体" w:cs="宋体"/>
                <w:szCs w:val="21"/>
                <w:lang w:val="en-US" w:eastAsia="zh-CN"/>
              </w:rPr>
              <w:t>项，包括固废排放（材料包装物废弃、办公垃圾等）、火灾（</w:t>
            </w:r>
            <w:r>
              <w:rPr>
                <w:rFonts w:hint="eastAsia" w:ascii="宋体" w:hAnsi="宋体"/>
                <w:szCs w:val="21"/>
              </w:rPr>
              <w:t>办公</w:t>
            </w:r>
            <w:r>
              <w:rPr>
                <w:rFonts w:hint="eastAsia" w:ascii="宋体" w:hAnsi="宋体"/>
                <w:szCs w:val="21"/>
                <w:lang w:val="en-US" w:eastAsia="zh-CN"/>
              </w:rPr>
              <w:t>过程潜在火灾的发生</w:t>
            </w:r>
            <w:r>
              <w:rPr>
                <w:rFonts w:hint="eastAsia" w:ascii="宋体" w:hAnsi="宋体" w:eastAsia="宋体" w:cs="宋体"/>
                <w:szCs w:val="21"/>
                <w:lang w:val="en-US" w:eastAsia="zh-CN"/>
              </w:rPr>
              <w:t>）</w:t>
            </w:r>
            <w:r>
              <w:rPr>
                <w:rFonts w:hint="eastAsia" w:ascii="宋体" w:hAnsi="宋体" w:cs="宋体"/>
                <w:szCs w:val="21"/>
                <w:lang w:val="en-US" w:eastAsia="zh-CN"/>
              </w:rPr>
              <w:t>。</w:t>
            </w:r>
          </w:p>
          <w:p>
            <w:pPr>
              <w:pStyle w:val="15"/>
              <w:rPr>
                <w:rFonts w:ascii="宋体" w:hAnsi="宋体" w:cs="宋体"/>
                <w:szCs w:val="21"/>
              </w:rPr>
            </w:pPr>
            <w:r>
              <w:rPr>
                <w:rFonts w:hint="eastAsia" w:asciiTheme="minorEastAsia" w:hAnsiTheme="minorEastAsia" w:eastAsiaTheme="minorEastAsia" w:cstheme="minorEastAsia"/>
                <w:bCs w:val="0"/>
                <w:spacing w:val="0"/>
                <w:kern w:val="2"/>
                <w:sz w:val="21"/>
                <w:szCs w:val="21"/>
                <w:highlight w:val="none"/>
                <w:lang w:val="en-US" w:eastAsia="zh-CN" w:bidi="ar-SA"/>
              </w:rPr>
              <w:t>以上重要环境因素清单中制定了针对性控制措施，措施基本有效。</w:t>
            </w:r>
          </w:p>
        </w:tc>
        <w:tc>
          <w:tcPr>
            <w:tcW w:w="1585" w:type="dxa"/>
            <w:vAlign w:val="top"/>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spacing w:line="360" w:lineRule="auto"/>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法律法规和其他要求和合规性评价</w:t>
            </w:r>
          </w:p>
        </w:tc>
        <w:tc>
          <w:tcPr>
            <w:tcW w:w="998" w:type="dxa"/>
            <w:vAlign w:val="top"/>
          </w:tcPr>
          <w:p>
            <w:pPr>
              <w:spacing w:line="360" w:lineRule="auto"/>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E</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6.1.3</w:t>
            </w:r>
          </w:p>
          <w:p>
            <w:pPr>
              <w:spacing w:line="360" w:lineRule="auto"/>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E</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9.1.2</w:t>
            </w:r>
          </w:p>
          <w:p>
            <w:pPr>
              <w:spacing w:line="360" w:lineRule="auto"/>
              <w:jc w:val="left"/>
              <w:rPr>
                <w:rFonts w:hint="eastAsia" w:asciiTheme="minorEastAsia" w:hAnsiTheme="minorEastAsia" w:eastAsiaTheme="minorEastAsia" w:cstheme="minorEastAsia"/>
                <w:color w:val="auto"/>
                <w:sz w:val="21"/>
                <w:szCs w:val="21"/>
                <w:highlight w:val="none"/>
                <w:lang w:val="en-US" w:eastAsia="zh-CN"/>
              </w:rPr>
            </w:pPr>
          </w:p>
        </w:tc>
        <w:tc>
          <w:tcPr>
            <w:tcW w:w="10004" w:type="dxa"/>
            <w:vAlign w:val="top"/>
          </w:tcPr>
          <w:p>
            <w:pPr>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有</w:t>
            </w:r>
            <w:r>
              <w:rPr>
                <w:rFonts w:hint="eastAsia" w:asciiTheme="minorEastAsia" w:hAnsiTheme="minorEastAsia" w:eastAsiaTheme="minorEastAsia" w:cstheme="minorEastAsia"/>
                <w:color w:val="auto"/>
                <w:sz w:val="21"/>
                <w:szCs w:val="21"/>
                <w:highlight w:val="none"/>
                <w:lang w:val="en-US" w:eastAsia="zh-CN"/>
              </w:rPr>
              <w:t>XZY</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CX-A</w:t>
            </w:r>
            <w:r>
              <w:rPr>
                <w:rFonts w:hint="eastAsia" w:asciiTheme="minorEastAsia" w:hAnsiTheme="minorEastAsia" w:eastAsiaTheme="minorEastAsia" w:cstheme="minorEastAsia"/>
                <w:color w:val="auto"/>
                <w:sz w:val="21"/>
                <w:szCs w:val="21"/>
                <w:highlight w:val="none"/>
              </w:rPr>
              <w:t>-05法律法规及其他要求控制程序、</w:t>
            </w:r>
            <w:r>
              <w:rPr>
                <w:rFonts w:hint="eastAsia" w:asciiTheme="minorEastAsia" w:hAnsiTheme="minorEastAsia" w:eastAsiaTheme="minorEastAsia" w:cstheme="minorEastAsia"/>
                <w:color w:val="auto"/>
                <w:sz w:val="21"/>
                <w:szCs w:val="21"/>
                <w:highlight w:val="none"/>
                <w:lang w:eastAsia="zh-CN"/>
              </w:rPr>
              <w:t>XZY</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CX-A</w:t>
            </w:r>
            <w:r>
              <w:rPr>
                <w:rFonts w:hint="eastAsia" w:asciiTheme="minorEastAsia" w:hAnsiTheme="minorEastAsia" w:eastAsiaTheme="minorEastAsia" w:cstheme="minorEastAsia"/>
                <w:color w:val="auto"/>
                <w:sz w:val="21"/>
                <w:szCs w:val="21"/>
                <w:highlight w:val="none"/>
              </w:rPr>
              <w:t>-20合规性评价控制程序</w:t>
            </w:r>
            <w:r>
              <w:rPr>
                <w:rFonts w:hint="eastAsia" w:asciiTheme="minorEastAsia" w:hAnsiTheme="minorEastAsia" w:eastAsiaTheme="minorEastAsia" w:cstheme="minorEastAsia"/>
                <w:color w:val="auto"/>
                <w:sz w:val="21"/>
                <w:szCs w:val="21"/>
                <w:highlight w:val="none"/>
                <w:lang w:val="en-US" w:eastAsia="zh-CN"/>
              </w:rPr>
              <w:t>等，</w:t>
            </w:r>
          </w:p>
          <w:p>
            <w:pPr>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见</w:t>
            </w:r>
            <w:r>
              <w:rPr>
                <w:rFonts w:hint="eastAsia" w:asciiTheme="minorEastAsia" w:hAnsiTheme="minorEastAsia" w:eastAsiaTheme="minorEastAsia" w:cstheme="minorEastAsia"/>
                <w:color w:val="auto"/>
                <w:sz w:val="21"/>
                <w:szCs w:val="21"/>
                <w:highlight w:val="none"/>
              </w:rPr>
              <w:t>法律法规和其他要求一览表</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合规性评价表</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评审时间2020年</w:t>
            </w:r>
            <w:r>
              <w:rPr>
                <w:rFonts w:hint="eastAsia" w:asciiTheme="minorEastAsia" w:hAnsiTheme="minorEastAsia" w:eastAsiaTheme="minorEastAsia" w:cstheme="minorEastAsia"/>
                <w:color w:val="auto"/>
                <w:sz w:val="21"/>
                <w:szCs w:val="21"/>
                <w:highlight w:val="none"/>
                <w:lang w:val="en-US" w:eastAsia="zh-CN"/>
              </w:rPr>
              <w:t>10</w:t>
            </w:r>
            <w:r>
              <w:rPr>
                <w:rFonts w:hint="eastAsia" w:asciiTheme="minorEastAsia" w:hAnsiTheme="minorEastAsia" w:eastAsiaTheme="minorEastAsia" w:cstheme="minorEastAsia"/>
                <w:color w:val="auto"/>
                <w:sz w:val="21"/>
                <w:szCs w:val="21"/>
                <w:highlight w:val="none"/>
              </w:rPr>
              <w:t>月30日</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评审地点</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公司会议室</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记录人赵洁</w:t>
            </w:r>
            <w:r>
              <w:rPr>
                <w:rFonts w:hint="eastAsia" w:asciiTheme="minorEastAsia" w:hAnsiTheme="minorEastAsia" w:eastAsiaTheme="minorEastAsia" w:cstheme="minorEastAsia"/>
                <w:color w:val="auto"/>
                <w:sz w:val="21"/>
                <w:szCs w:val="21"/>
                <w:highlight w:val="none"/>
                <w:lang w:eastAsia="zh-CN"/>
              </w:rPr>
              <w:t>，</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参加人员</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总经理/：赵平</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综合办公室/管理者代表：赵洁</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财务部：孙玲梅</w:t>
            </w:r>
          </w:p>
          <w:p>
            <w:pPr>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战略发展部：赵卫平</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计量部：胡民安</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安全事务代表：潘志伟</w:t>
            </w:r>
            <w:r>
              <w:rPr>
                <w:rFonts w:hint="eastAsia" w:asciiTheme="minorEastAsia" w:hAnsiTheme="minorEastAsia" w:eastAsiaTheme="minorEastAsia" w:cstheme="minorEastAsia"/>
                <w:color w:val="auto"/>
                <w:sz w:val="21"/>
                <w:szCs w:val="21"/>
                <w:highlight w:val="none"/>
                <w:lang w:val="en-US" w:eastAsia="zh-CN"/>
              </w:rPr>
              <w:t>，抽查如下：</w:t>
            </w:r>
          </w:p>
          <w:p>
            <w:pPr>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华人民共和国消防法》、陕西省消防条例、陕西省安全生产条例、陕西省重大危险源监督管理规定、危险化学品安全管理条例、污水综合排放标准、处置场污染控制标准、危险废物转移联单管理办法、陕西省实施《中华人民共和国环境影响评价法》办法、陕西省节约用水办法、国家突发环境事件应急预案、环境空气质量标准、陕西省化学危险品安全管理规定（试行）、突发环境事件应急预案编制导则等，控制措施及现状：已制定安全防火制度及应急预案。配备消防器材。重点场所标识禁火。定期巡查，消除隐患。每年进行至少一次消防演练。</w:t>
            </w:r>
          </w:p>
          <w:p>
            <w:pPr>
              <w:spacing w:line="360" w:lineRule="auto"/>
              <w:rPr>
                <w:rFonts w:ascii="宋体" w:hAnsi="宋体" w:cs="宋体"/>
                <w:szCs w:val="21"/>
              </w:rPr>
            </w:pPr>
            <w:r>
              <w:rPr>
                <w:rFonts w:hint="eastAsia" w:asciiTheme="minorEastAsia" w:hAnsiTheme="minorEastAsia" w:eastAsiaTheme="minorEastAsia" w:cstheme="minorEastAsia"/>
                <w:color w:val="auto"/>
                <w:sz w:val="21"/>
                <w:szCs w:val="21"/>
                <w:highlight w:val="none"/>
              </w:rPr>
              <w:t>结果：</w:t>
            </w:r>
            <w:r>
              <w:rPr>
                <w:rFonts w:hint="eastAsia" w:asciiTheme="minorEastAsia" w:hAnsiTheme="minorEastAsia" w:eastAsiaTheme="minorEastAsia" w:cstheme="minorEastAsia"/>
                <w:color w:val="auto"/>
                <w:sz w:val="21"/>
                <w:szCs w:val="21"/>
                <w:highlight w:val="none"/>
                <w:lang w:val="en-US" w:eastAsia="zh-CN"/>
              </w:rPr>
              <w:t>基本符合</w:t>
            </w:r>
          </w:p>
        </w:tc>
        <w:tc>
          <w:tcPr>
            <w:tcW w:w="1585" w:type="dxa"/>
            <w:vAlign w:val="top"/>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tcPr>
          <w:p>
            <w:pPr>
              <w:spacing w:line="360" w:lineRule="auto"/>
              <w:rPr>
                <w:rFonts w:ascii="宋体" w:hAnsi="宋体" w:cs="宋体"/>
                <w:szCs w:val="21"/>
              </w:rPr>
            </w:pPr>
            <w:r>
              <w:rPr>
                <w:rFonts w:hint="eastAsia" w:ascii="宋体" w:hAnsi="宋体" w:cs="宋体"/>
                <w:szCs w:val="21"/>
              </w:rPr>
              <w:t>管理目标及其实现的策划</w:t>
            </w:r>
          </w:p>
          <w:p>
            <w:pPr>
              <w:spacing w:line="360" w:lineRule="auto"/>
              <w:rPr>
                <w:rFonts w:ascii="宋体" w:hAnsi="宋体" w:cs="宋体"/>
                <w:szCs w:val="21"/>
              </w:rPr>
            </w:pPr>
          </w:p>
        </w:tc>
        <w:tc>
          <w:tcPr>
            <w:tcW w:w="998" w:type="dxa"/>
          </w:tcPr>
          <w:p>
            <w:pPr>
              <w:spacing w:line="360" w:lineRule="auto"/>
              <w:rPr>
                <w:szCs w:val="21"/>
              </w:rPr>
            </w:pPr>
            <w:r>
              <w:rPr>
                <w:rFonts w:hint="eastAsia"/>
                <w:szCs w:val="21"/>
              </w:rPr>
              <w:t>Q6.2</w:t>
            </w:r>
          </w:p>
          <w:p>
            <w:pPr>
              <w:spacing w:line="360" w:lineRule="auto"/>
              <w:rPr>
                <w:szCs w:val="21"/>
              </w:rPr>
            </w:pPr>
            <w:r>
              <w:rPr>
                <w:rFonts w:hint="eastAsia"/>
                <w:szCs w:val="21"/>
              </w:rPr>
              <w:t>E6.2.1</w:t>
            </w:r>
          </w:p>
        </w:tc>
        <w:tc>
          <w:tcPr>
            <w:tcW w:w="10004" w:type="dxa"/>
            <w:vAlign w:val="center"/>
          </w:tcPr>
          <w:p>
            <w:pPr>
              <w:spacing w:line="360" w:lineRule="auto"/>
              <w:ind w:firstLine="420" w:firstLineChars="200"/>
              <w:rPr>
                <w:rFonts w:ascii="宋体" w:hAnsi="宋体" w:cs="宋体"/>
                <w:szCs w:val="21"/>
              </w:rPr>
            </w:pPr>
            <w:r>
              <w:rPr>
                <w:rFonts w:hint="eastAsia" w:ascii="宋体" w:hAnsi="宋体" w:cs="宋体"/>
                <w:szCs w:val="21"/>
              </w:rPr>
              <w:t>公司对管理体系所需的相关职能、层次和过程设定管理目标。</w:t>
            </w:r>
          </w:p>
          <w:p>
            <w:pPr>
              <w:spacing w:line="360" w:lineRule="auto"/>
              <w:ind w:firstLine="420" w:firstLineChars="200"/>
              <w:rPr>
                <w:rFonts w:hint="eastAsia" w:ascii="宋体" w:hAnsi="宋体" w:cs="宋体"/>
                <w:szCs w:val="21"/>
              </w:rPr>
            </w:pPr>
            <w:r>
              <w:drawing>
                <wp:anchor distT="0" distB="0" distL="114300" distR="114300" simplePos="0" relativeHeight="251659264" behindDoc="0" locked="0" layoutInCell="1" allowOverlap="1">
                  <wp:simplePos x="0" y="0"/>
                  <wp:positionH relativeFrom="column">
                    <wp:posOffset>158115</wp:posOffset>
                  </wp:positionH>
                  <wp:positionV relativeFrom="paragraph">
                    <wp:posOffset>273050</wp:posOffset>
                  </wp:positionV>
                  <wp:extent cx="5694680" cy="1986915"/>
                  <wp:effectExtent l="0" t="0" r="7620" b="698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694680" cy="1986915"/>
                          </a:xfrm>
                          <a:prstGeom prst="rect">
                            <a:avLst/>
                          </a:prstGeom>
                          <a:noFill/>
                          <a:ln>
                            <a:noFill/>
                          </a:ln>
                        </pic:spPr>
                      </pic:pic>
                    </a:graphicData>
                  </a:graphic>
                </wp:anchor>
              </w:drawing>
            </w:r>
            <w:r>
              <w:rPr>
                <w:rFonts w:hint="eastAsia" w:ascii="宋体" w:hAnsi="宋体" w:cs="宋体"/>
                <w:szCs w:val="21"/>
                <w:lang w:eastAsia="zh-CN"/>
              </w:rPr>
              <w:t>综合办公室</w:t>
            </w:r>
            <w:r>
              <w:rPr>
                <w:rFonts w:hint="eastAsia" w:ascii="宋体" w:hAnsi="宋体" w:cs="宋体"/>
                <w:szCs w:val="21"/>
              </w:rPr>
              <w:t>涉及的目标及实现情况是：</w:t>
            </w:r>
          </w:p>
          <w:p>
            <w:pPr>
              <w:pStyle w:val="2"/>
              <w:rPr>
                <w:rFonts w:hint="eastAsia"/>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spacing w:line="360" w:lineRule="auto"/>
              <w:rPr>
                <w:rFonts w:ascii="宋体" w:hAnsi="宋体" w:cs="宋体"/>
                <w:szCs w:val="21"/>
              </w:rPr>
            </w:pPr>
            <w:r>
              <w:rPr>
                <w:rFonts w:hint="eastAsia" w:ascii="宋体" w:hAnsi="宋体" w:cs="宋体"/>
                <w:szCs w:val="21"/>
              </w:rPr>
              <w:t>目标可测量，与公司管理方针一致。有实施落实的方案，根据</w:t>
            </w:r>
            <w:r>
              <w:rPr>
                <w:rFonts w:hint="eastAsia" w:ascii="宋体" w:hAnsi="宋体" w:cs="宋体"/>
                <w:szCs w:val="21"/>
                <w:lang w:val="en-US" w:eastAsia="zh-CN"/>
              </w:rPr>
              <w:t>2021年1</w:t>
            </w:r>
            <w:r>
              <w:rPr>
                <w:rFonts w:hint="eastAsia" w:ascii="宋体" w:hAnsi="宋体" w:cs="宋体"/>
                <w:szCs w:val="21"/>
              </w:rPr>
              <w:t>月</w:t>
            </w:r>
            <w:r>
              <w:rPr>
                <w:rFonts w:hint="eastAsia" w:ascii="宋体" w:hAnsi="宋体" w:cs="宋体"/>
                <w:szCs w:val="21"/>
                <w:lang w:val="en-US" w:eastAsia="zh-CN"/>
              </w:rPr>
              <w:t>4</w:t>
            </w:r>
            <w:r>
              <w:rPr>
                <w:rFonts w:hint="eastAsia" w:ascii="宋体" w:hAnsi="宋体" w:cs="宋体"/>
                <w:szCs w:val="21"/>
              </w:rPr>
              <w:t>日统计结果，目标均已完成。</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tcPr>
          <w:p>
            <w:pPr>
              <w:spacing w:line="360" w:lineRule="auto"/>
              <w:rPr>
                <w:rFonts w:ascii="宋体" w:hAnsi="宋体" w:cs="宋体"/>
                <w:szCs w:val="21"/>
              </w:rPr>
            </w:pPr>
            <w:r>
              <w:rPr>
                <w:rFonts w:hint="eastAsia" w:ascii="宋体" w:hAnsi="宋体" w:cs="宋体"/>
                <w:szCs w:val="21"/>
              </w:rPr>
              <w:t>环境目标实现措施策划</w:t>
            </w:r>
          </w:p>
        </w:tc>
        <w:tc>
          <w:tcPr>
            <w:tcW w:w="998" w:type="dxa"/>
          </w:tcPr>
          <w:p>
            <w:pPr>
              <w:spacing w:line="360" w:lineRule="auto"/>
              <w:rPr>
                <w:szCs w:val="21"/>
              </w:rPr>
            </w:pPr>
            <w:r>
              <w:rPr>
                <w:rFonts w:hint="eastAsia"/>
                <w:szCs w:val="21"/>
              </w:rPr>
              <w:t>E6.2.2</w:t>
            </w:r>
          </w:p>
        </w:tc>
        <w:tc>
          <w:tcPr>
            <w:tcW w:w="10004" w:type="dxa"/>
            <w:vAlign w:val="center"/>
          </w:tcPr>
          <w:p>
            <w:pPr>
              <w:spacing w:line="360" w:lineRule="auto"/>
              <w:ind w:firstLine="420" w:firstLineChars="200"/>
              <w:rPr>
                <w:rFonts w:hint="eastAsia" w:ascii="Times New Roman" w:hAnsi="Times New Roman" w:eastAsia="宋体" w:cs="Times New Roman"/>
                <w:szCs w:val="22"/>
              </w:rPr>
            </w:pPr>
            <w:r>
              <w:rPr>
                <w:rFonts w:hint="eastAsia"/>
              </w:rPr>
              <w:t>按《环境因素识别和评价控制程序》识别的重要环境因素制定管理措施，制定《相关方控制程序》等文件；由</w:t>
            </w:r>
            <w:r>
              <w:rPr>
                <w:rFonts w:hint="eastAsia"/>
                <w:lang w:eastAsia="zh-CN"/>
              </w:rPr>
              <w:t>综合办公室</w:t>
            </w:r>
            <w:r>
              <w:rPr>
                <w:rFonts w:hint="eastAsia"/>
              </w:rPr>
              <w:t>统一管理。基本不涉及重大法规要求的不可接受的</w:t>
            </w:r>
            <w:r>
              <w:rPr>
                <w:rFonts w:hint="eastAsia" w:ascii="Times New Roman" w:hAnsi="Times New Roman" w:eastAsia="宋体" w:cs="Times New Roman"/>
                <w:szCs w:val="22"/>
              </w:rPr>
              <w:t>环境和安全风险。</w:t>
            </w:r>
          </w:p>
          <w:p>
            <w:pPr>
              <w:spacing w:line="360" w:lineRule="auto"/>
              <w:rPr>
                <w:rFonts w:hint="eastAsia" w:ascii="Times New Roman" w:hAnsi="Times New Roman" w:eastAsia="宋体" w:cs="Times New Roman"/>
                <w:szCs w:val="22"/>
                <w:lang w:eastAsia="zh-CN"/>
              </w:rPr>
            </w:pPr>
            <w:r>
              <w:rPr>
                <w:rFonts w:hint="eastAsia" w:ascii="Times New Roman" w:hAnsi="Times New Roman" w:eastAsia="宋体" w:cs="Times New Roman"/>
                <w:szCs w:val="22"/>
              </w:rPr>
              <w:t>查见环境目标管理方案有时间期限、具体措施、责任人。</w:t>
            </w:r>
            <w:r>
              <w:rPr>
                <w:rFonts w:hint="eastAsia" w:ascii="Times New Roman" w:hAnsi="Times New Roman" w:eastAsia="宋体" w:cs="Times New Roman"/>
                <w:szCs w:val="22"/>
                <w:lang w:val="en-US" w:eastAsia="zh-CN"/>
              </w:rPr>
              <w:t>环境</w:t>
            </w:r>
            <w:r>
              <w:rPr>
                <w:rFonts w:hint="eastAsia" w:ascii="Times New Roman" w:hAnsi="Times New Roman" w:eastAsia="宋体" w:cs="Times New Roman"/>
                <w:szCs w:val="22"/>
              </w:rPr>
              <w:t>管理方案共计有</w:t>
            </w:r>
            <w:r>
              <w:rPr>
                <w:rFonts w:hint="eastAsia" w:ascii="Times New Roman" w:hAnsi="Times New Roman" w:eastAsia="宋体" w:cs="Times New Roman"/>
                <w:szCs w:val="22"/>
                <w:lang w:val="en-US" w:eastAsia="zh-CN"/>
              </w:rPr>
              <w:t>2</w:t>
            </w:r>
            <w:r>
              <w:rPr>
                <w:rFonts w:hint="eastAsia" w:ascii="Times New Roman" w:hAnsi="Times New Roman" w:eastAsia="宋体" w:cs="Times New Roman"/>
                <w:szCs w:val="22"/>
              </w:rPr>
              <w:t>个，分别是1）</w:t>
            </w:r>
            <w:r>
              <w:rPr>
                <w:rFonts w:hint="eastAsia" w:ascii="Times New Roman" w:hAnsi="Times New Roman" w:eastAsia="宋体" w:cs="Times New Roman"/>
                <w:szCs w:val="22"/>
                <w:lang w:val="en-US" w:eastAsia="zh-CN"/>
              </w:rPr>
              <w:t>固废排放</w:t>
            </w:r>
            <w:r>
              <w:rPr>
                <w:rFonts w:hint="eastAsia" w:ascii="Times New Roman" w:hAnsi="Times New Roman" w:eastAsia="宋体" w:cs="Times New Roman"/>
                <w:szCs w:val="22"/>
              </w:rPr>
              <w:t>；2）火灾</w:t>
            </w:r>
            <w:r>
              <w:rPr>
                <w:rFonts w:hint="eastAsia" w:ascii="Times New Roman" w:hAnsi="Times New Roman" w:eastAsia="宋体" w:cs="Times New Roman"/>
                <w:szCs w:val="22"/>
                <w:lang w:eastAsia="zh-CN"/>
              </w:rPr>
              <w:t>；</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1、查见固体废弃物确定的管理方案：</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1)组织相关岗位人员培训学习并认真贯彻实施上述规定。</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2）实行垃圾分类处理，综合利用，对于边角料外售；</w:t>
            </w:r>
          </w:p>
          <w:p>
            <w:pPr>
              <w:spacing w:line="360" w:lineRule="auto"/>
              <w:rPr>
                <w:rFonts w:hint="eastAsia" w:ascii="Times New Roman" w:hAnsi="Times New Roman" w:eastAsia="宋体" w:cs="Times New Roman"/>
                <w:szCs w:val="22"/>
              </w:rPr>
            </w:pPr>
            <w:r>
              <w:rPr>
                <w:rFonts w:hint="eastAsia" w:cs="Times New Roman"/>
                <w:szCs w:val="22"/>
                <w:lang w:val="en-US" w:eastAsia="zh-CN"/>
              </w:rPr>
              <w:t>3</w:t>
            </w:r>
            <w:r>
              <w:rPr>
                <w:rFonts w:hint="eastAsia" w:ascii="Times New Roman" w:hAnsi="Times New Roman" w:eastAsia="宋体" w:cs="Times New Roman"/>
                <w:szCs w:val="22"/>
              </w:rPr>
              <w:t>）办公固废由综合办公室统一收集，综合处理，办公废物供方回收。</w:t>
            </w:r>
          </w:p>
          <w:p>
            <w:pPr>
              <w:spacing w:line="360" w:lineRule="auto"/>
              <w:rPr>
                <w:rFonts w:hint="eastAsia" w:ascii="Times New Roman" w:hAnsi="Times New Roman" w:eastAsia="宋体" w:cs="Times New Roman"/>
                <w:szCs w:val="22"/>
              </w:rPr>
            </w:pPr>
            <w:r>
              <w:rPr>
                <w:rFonts w:hint="eastAsia" w:cs="Times New Roman"/>
                <w:szCs w:val="22"/>
                <w:lang w:val="en-US" w:eastAsia="zh-CN"/>
              </w:rPr>
              <w:t>4</w:t>
            </w:r>
            <w:r>
              <w:rPr>
                <w:rFonts w:hint="eastAsia" w:ascii="Times New Roman" w:hAnsi="Times New Roman" w:eastAsia="宋体" w:cs="Times New Roman"/>
                <w:szCs w:val="22"/>
              </w:rPr>
              <w:t>）生活垃圾由环卫部门统一处理。</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w:t>
            </w:r>
          </w:p>
          <w:p>
            <w:pPr>
              <w:spacing w:line="360" w:lineRule="auto"/>
            </w:pPr>
            <w:r>
              <w:rPr>
                <w:rFonts w:hint="eastAsia" w:ascii="Times New Roman" w:hAnsi="Times New Roman" w:eastAsia="宋体" w:cs="Times New Roman"/>
                <w:szCs w:val="22"/>
              </w:rPr>
              <w:t>方案针对目标及指标提出了管理措施，方案中有具体的实施时间及经费，有相应的实施主体。</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人员</w:t>
            </w:r>
          </w:p>
          <w:p>
            <w:pPr>
              <w:spacing w:line="360" w:lineRule="auto"/>
              <w:rPr>
                <w:b/>
                <w:szCs w:val="21"/>
              </w:rPr>
            </w:pPr>
          </w:p>
        </w:tc>
        <w:tc>
          <w:tcPr>
            <w:tcW w:w="998" w:type="dxa"/>
          </w:tcPr>
          <w:p>
            <w:pPr>
              <w:spacing w:line="360" w:lineRule="auto"/>
              <w:rPr>
                <w:rFonts w:ascii="宋体" w:hAnsi="宋体" w:cs="宋体"/>
                <w:color w:val="000000"/>
                <w:kern w:val="0"/>
                <w:szCs w:val="21"/>
              </w:rPr>
            </w:pPr>
            <w:r>
              <w:rPr>
                <w:rFonts w:hint="eastAsia" w:ascii="宋体" w:hAnsi="宋体" w:cs="宋体"/>
                <w:color w:val="000000"/>
                <w:kern w:val="0"/>
                <w:szCs w:val="21"/>
              </w:rPr>
              <w:t>Q7.1.2</w:t>
            </w:r>
          </w:p>
          <w:p>
            <w:pPr>
              <w:spacing w:line="360" w:lineRule="auto"/>
              <w:rPr>
                <w:b/>
                <w:szCs w:val="21"/>
              </w:rPr>
            </w:pPr>
          </w:p>
        </w:tc>
        <w:tc>
          <w:tcPr>
            <w:tcW w:w="10004" w:type="dxa"/>
            <w:vAlign w:val="center"/>
          </w:tcPr>
          <w:p>
            <w:pPr>
              <w:spacing w:line="360" w:lineRule="auto"/>
              <w:ind w:firstLine="420" w:firstLineChars="200"/>
            </w:pPr>
            <w:r>
              <w:rPr>
                <w:rFonts w:hint="eastAsia"/>
                <w:lang w:eastAsia="zh-CN"/>
              </w:rPr>
              <w:t>综合办公室</w:t>
            </w:r>
            <w:r>
              <w:rPr>
                <w:rFonts w:hint="eastAsia"/>
              </w:rPr>
              <w:t>根据各部门的需要配备管理体系运行所需的人员，任命内审员</w:t>
            </w:r>
            <w:r>
              <w:t>2</w:t>
            </w:r>
            <w:r>
              <w:rPr>
                <w:rFonts w:hint="eastAsia"/>
              </w:rPr>
              <w:t>名，均经过相关培训，有公司任命证书。查有《人力资源控制程序》并制定有相关人员的职责和权限相关文件化信息确定并对配备所需的人员资源，各级各层人员能力、意识、岗位定员、部门人员职责、权限、相互关系等进行了清晰要求并做了沟通，以有效实施体系并运行和控制其过程。</w:t>
            </w:r>
          </w:p>
          <w:p>
            <w:pPr>
              <w:spacing w:line="360" w:lineRule="auto"/>
              <w:rPr>
                <w:rFonts w:hint="eastAsia"/>
              </w:rPr>
            </w:pPr>
            <w:r>
              <w:rPr>
                <w:rFonts w:hint="eastAsia"/>
              </w:rPr>
              <w:t>提供有员工花名册，目前公司共有员工</w:t>
            </w:r>
            <w:r>
              <w:rPr>
                <w:rFonts w:hint="eastAsia"/>
                <w:lang w:val="en-US" w:eastAsia="zh-CN"/>
              </w:rPr>
              <w:t>25</w:t>
            </w:r>
            <w:r>
              <w:rPr>
                <w:rFonts w:hint="eastAsia"/>
              </w:rPr>
              <w:t>人，各部门人员配备基本充分，基本符合要求。</w:t>
            </w:r>
          </w:p>
          <w:p>
            <w:pPr>
              <w:pStyle w:val="2"/>
              <w:rPr>
                <w:rFonts w:hint="default"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查计量部负责人胡民安</w:t>
            </w:r>
            <w:r>
              <w:rPr>
                <w:rFonts w:hint="eastAsia" w:cs="Times New Roman"/>
                <w:kern w:val="2"/>
                <w:sz w:val="21"/>
                <w:szCs w:val="22"/>
                <w:lang w:val="en-US" w:eastAsia="zh-CN" w:bidi="ar-SA"/>
              </w:rPr>
              <w:t>计量检定专业的高级工程师职称证：2008年8月28日批准，号码为：陕人职字【2008】351号。查二级注册计量师史艳维，注册号：6100717，有效期：2019年5月31日-2022年5月30日。</w:t>
            </w:r>
          </w:p>
          <w:p>
            <w:pPr>
              <w:pStyle w:val="2"/>
              <w:rPr>
                <w:rFonts w:hint="default" w:cs="Times New Roman"/>
                <w:kern w:val="2"/>
                <w:sz w:val="21"/>
                <w:szCs w:val="22"/>
                <w:lang w:val="en-US" w:eastAsia="zh-CN" w:bidi="ar-SA"/>
              </w:rPr>
            </w:pPr>
            <w:r>
              <w:rPr>
                <w:rFonts w:hint="eastAsia" w:cs="Times New Roman"/>
                <w:kern w:val="2"/>
                <w:sz w:val="21"/>
                <w:szCs w:val="22"/>
                <w:lang w:val="en-US" w:eastAsia="zh-CN" w:bidi="ar-SA"/>
              </w:rPr>
              <w:t>查二级注册计量师朱漫，注册号：6100718，有效期：2019年5月31日-2022年5月30日。</w:t>
            </w:r>
          </w:p>
          <w:p>
            <w:pPr>
              <w:pStyle w:val="2"/>
              <w:rPr>
                <w:rFonts w:hint="default" w:cs="Times New Roman"/>
                <w:kern w:val="2"/>
                <w:sz w:val="21"/>
                <w:szCs w:val="22"/>
                <w:lang w:val="en-US" w:eastAsia="zh-CN" w:bidi="ar-SA"/>
              </w:rPr>
            </w:pPr>
            <w:r>
              <w:rPr>
                <w:rFonts w:hint="eastAsia" w:cs="Times New Roman"/>
                <w:kern w:val="2"/>
                <w:sz w:val="21"/>
                <w:szCs w:val="22"/>
                <w:lang w:val="en-US" w:eastAsia="zh-CN" w:bidi="ar-SA"/>
              </w:rPr>
              <w:t>二级注册计量师沈鹏超，注册号：6100669，有效期：2019年5月31日-2022年5月30日。</w:t>
            </w:r>
          </w:p>
          <w:p>
            <w:pPr>
              <w:pStyle w:val="2"/>
              <w:rPr>
                <w:rFonts w:hint="default" w:cs="Times New Roman"/>
                <w:kern w:val="2"/>
                <w:sz w:val="21"/>
                <w:szCs w:val="22"/>
                <w:lang w:val="en-US" w:eastAsia="zh-CN" w:bidi="ar-SA"/>
              </w:rPr>
            </w:pPr>
            <w:r>
              <w:rPr>
                <w:rFonts w:hint="eastAsia" w:cs="Times New Roman"/>
                <w:kern w:val="2"/>
                <w:sz w:val="21"/>
                <w:szCs w:val="22"/>
                <w:lang w:val="en-US" w:eastAsia="zh-CN" w:bidi="ar-SA"/>
              </w:rPr>
              <w:t>二级注册计量师胡浩，注册号：6100831，有效期：2019年5月31日-2022年5月30日。</w:t>
            </w:r>
          </w:p>
          <w:p>
            <w:pPr>
              <w:pStyle w:val="2"/>
              <w:rPr>
                <w:rFonts w:hint="default" w:cs="Times New Roman"/>
                <w:kern w:val="2"/>
                <w:sz w:val="21"/>
                <w:szCs w:val="22"/>
                <w:lang w:val="en-US" w:eastAsia="zh-CN" w:bidi="ar-SA"/>
              </w:rPr>
            </w:pPr>
            <w:r>
              <w:drawing>
                <wp:anchor distT="0" distB="0" distL="114300" distR="114300" simplePos="0" relativeHeight="251661312" behindDoc="0" locked="0" layoutInCell="1" allowOverlap="1">
                  <wp:simplePos x="0" y="0"/>
                  <wp:positionH relativeFrom="column">
                    <wp:posOffset>3244850</wp:posOffset>
                  </wp:positionH>
                  <wp:positionV relativeFrom="paragraph">
                    <wp:posOffset>213360</wp:posOffset>
                  </wp:positionV>
                  <wp:extent cx="2964180" cy="1988820"/>
                  <wp:effectExtent l="0" t="0" r="7620" b="508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2964180" cy="198882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12700</wp:posOffset>
                  </wp:positionH>
                  <wp:positionV relativeFrom="paragraph">
                    <wp:posOffset>73660</wp:posOffset>
                  </wp:positionV>
                  <wp:extent cx="3141980" cy="2233930"/>
                  <wp:effectExtent l="0" t="0" r="7620" b="127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3141980" cy="2233930"/>
                          </a:xfrm>
                          <a:prstGeom prst="rect">
                            <a:avLst/>
                          </a:prstGeom>
                          <a:noFill/>
                          <a:ln>
                            <a:noFill/>
                          </a:ln>
                        </pic:spPr>
                      </pic:pic>
                    </a:graphicData>
                  </a:graphic>
                </wp:anchor>
              </w:drawing>
            </w:r>
          </w:p>
          <w:p>
            <w:pPr>
              <w:pStyle w:val="2"/>
              <w:rPr>
                <w:rFonts w:hint="eastAsia" w:cs="Times New Roman"/>
                <w:kern w:val="2"/>
                <w:sz w:val="21"/>
                <w:szCs w:val="22"/>
                <w:lang w:val="en-US" w:eastAsia="zh-CN" w:bidi="ar-SA"/>
              </w:rPr>
            </w:pPr>
          </w:p>
          <w:p>
            <w:pPr>
              <w:pStyle w:val="2"/>
              <w:rPr>
                <w:rFonts w:hint="eastAsia" w:cs="Times New Roman"/>
                <w:kern w:val="2"/>
                <w:sz w:val="21"/>
                <w:szCs w:val="22"/>
                <w:lang w:val="en-US" w:eastAsia="zh-CN" w:bidi="ar-SA"/>
              </w:rPr>
            </w:pPr>
          </w:p>
          <w:p>
            <w:pPr>
              <w:pStyle w:val="2"/>
              <w:rPr>
                <w:rFonts w:hint="eastAsia" w:cs="Times New Roman"/>
                <w:kern w:val="2"/>
                <w:sz w:val="21"/>
                <w:szCs w:val="22"/>
                <w:lang w:val="en-US" w:eastAsia="zh-CN" w:bidi="ar-SA"/>
              </w:rPr>
            </w:pPr>
          </w:p>
          <w:p>
            <w:pPr>
              <w:pStyle w:val="2"/>
              <w:rPr>
                <w:rFonts w:hint="eastAsia" w:cs="Times New Roman"/>
                <w:kern w:val="2"/>
                <w:sz w:val="21"/>
                <w:szCs w:val="22"/>
                <w:lang w:val="en-US" w:eastAsia="zh-CN" w:bidi="ar-SA"/>
              </w:rPr>
            </w:pPr>
          </w:p>
          <w:p>
            <w:pPr>
              <w:pStyle w:val="2"/>
              <w:rPr>
                <w:rFonts w:hint="eastAsia" w:cs="Times New Roman"/>
                <w:kern w:val="2"/>
                <w:sz w:val="21"/>
                <w:szCs w:val="22"/>
                <w:lang w:val="en-US" w:eastAsia="zh-CN" w:bidi="ar-SA"/>
              </w:rPr>
            </w:pPr>
          </w:p>
          <w:p>
            <w:pPr>
              <w:pStyle w:val="2"/>
              <w:rPr>
                <w:rFonts w:hint="eastAsia" w:cs="Times New Roman"/>
                <w:kern w:val="2"/>
                <w:sz w:val="21"/>
                <w:szCs w:val="22"/>
                <w:lang w:val="en-US" w:eastAsia="zh-CN" w:bidi="ar-SA"/>
              </w:rPr>
            </w:pPr>
          </w:p>
          <w:p>
            <w:pPr>
              <w:pStyle w:val="2"/>
              <w:rPr>
                <w:rFonts w:hint="eastAsia" w:cs="Times New Roman"/>
                <w:kern w:val="2"/>
                <w:sz w:val="21"/>
                <w:szCs w:val="22"/>
                <w:lang w:val="en-US" w:eastAsia="zh-CN" w:bidi="ar-SA"/>
              </w:rPr>
            </w:pPr>
          </w:p>
          <w:p>
            <w:pPr>
              <w:pStyle w:val="2"/>
              <w:rPr>
                <w:rFonts w:hint="eastAsia" w:cs="Times New Roman"/>
                <w:kern w:val="2"/>
                <w:sz w:val="21"/>
                <w:szCs w:val="22"/>
                <w:lang w:val="en-US" w:eastAsia="zh-CN" w:bidi="ar-SA"/>
              </w:rPr>
            </w:pPr>
          </w:p>
          <w:p>
            <w:pPr>
              <w:pStyle w:val="2"/>
              <w:rPr>
                <w:rFonts w:hint="eastAsia" w:cs="Times New Roman"/>
                <w:kern w:val="2"/>
                <w:sz w:val="21"/>
                <w:szCs w:val="22"/>
                <w:lang w:val="en-US" w:eastAsia="zh-CN" w:bidi="ar-SA"/>
              </w:rPr>
            </w:pPr>
            <w:r>
              <w:drawing>
                <wp:anchor distT="0" distB="0" distL="114300" distR="114300" simplePos="0" relativeHeight="251663360" behindDoc="0" locked="0" layoutInCell="1" allowOverlap="1">
                  <wp:simplePos x="0" y="0"/>
                  <wp:positionH relativeFrom="column">
                    <wp:posOffset>3227705</wp:posOffset>
                  </wp:positionH>
                  <wp:positionV relativeFrom="paragraph">
                    <wp:posOffset>83185</wp:posOffset>
                  </wp:positionV>
                  <wp:extent cx="3016885" cy="2087245"/>
                  <wp:effectExtent l="0" t="0" r="5715" b="8255"/>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3016885" cy="208724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-25400</wp:posOffset>
                  </wp:positionH>
                  <wp:positionV relativeFrom="paragraph">
                    <wp:posOffset>56515</wp:posOffset>
                  </wp:positionV>
                  <wp:extent cx="3149600" cy="2084705"/>
                  <wp:effectExtent l="0" t="0" r="0" b="1079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3149600" cy="2084705"/>
                          </a:xfrm>
                          <a:prstGeom prst="rect">
                            <a:avLst/>
                          </a:prstGeom>
                          <a:noFill/>
                          <a:ln>
                            <a:noFill/>
                          </a:ln>
                        </pic:spPr>
                      </pic:pic>
                    </a:graphicData>
                  </a:graphic>
                </wp:anchor>
              </w:drawing>
            </w:r>
          </w:p>
          <w:p>
            <w:pPr>
              <w:pStyle w:val="2"/>
              <w:rPr>
                <w:rFonts w:hint="eastAsia" w:cs="Times New Roman"/>
                <w:kern w:val="2"/>
                <w:sz w:val="21"/>
                <w:szCs w:val="22"/>
                <w:lang w:val="en-US" w:eastAsia="zh-CN" w:bidi="ar-SA"/>
              </w:rPr>
            </w:pPr>
          </w:p>
          <w:p>
            <w:pPr>
              <w:pStyle w:val="2"/>
              <w:rPr>
                <w:rFonts w:hint="eastAsia" w:cs="Times New Roman"/>
                <w:kern w:val="2"/>
                <w:sz w:val="21"/>
                <w:szCs w:val="22"/>
                <w:lang w:val="en-US" w:eastAsia="zh-CN" w:bidi="ar-SA"/>
              </w:rPr>
            </w:pPr>
          </w:p>
          <w:p>
            <w:pPr>
              <w:pStyle w:val="2"/>
              <w:rPr>
                <w:rFonts w:hint="eastAsia" w:cs="Times New Roman"/>
                <w:kern w:val="2"/>
                <w:sz w:val="21"/>
                <w:szCs w:val="22"/>
                <w:lang w:val="en-US" w:eastAsia="zh-CN" w:bidi="ar-SA"/>
              </w:rPr>
            </w:pPr>
          </w:p>
          <w:p>
            <w:pPr>
              <w:pStyle w:val="2"/>
              <w:rPr>
                <w:rFonts w:hint="eastAsia" w:cs="Times New Roman"/>
                <w:kern w:val="2"/>
                <w:sz w:val="21"/>
                <w:szCs w:val="22"/>
                <w:lang w:val="en-US" w:eastAsia="zh-CN" w:bidi="ar-SA"/>
              </w:rPr>
            </w:pPr>
          </w:p>
          <w:p>
            <w:pPr>
              <w:pStyle w:val="2"/>
              <w:rPr>
                <w:rFonts w:hint="eastAsia" w:cs="Times New Roman"/>
                <w:kern w:val="2"/>
                <w:sz w:val="21"/>
                <w:szCs w:val="22"/>
                <w:lang w:val="en-US" w:eastAsia="zh-CN" w:bidi="ar-SA"/>
              </w:rPr>
            </w:pPr>
          </w:p>
          <w:p>
            <w:pPr>
              <w:pStyle w:val="2"/>
              <w:rPr>
                <w:rFonts w:hint="eastAsia" w:cs="Times New Roman"/>
                <w:kern w:val="2"/>
                <w:sz w:val="21"/>
                <w:szCs w:val="22"/>
                <w:lang w:val="en-US" w:eastAsia="zh-CN" w:bidi="ar-SA"/>
              </w:rPr>
            </w:pPr>
          </w:p>
          <w:p>
            <w:pPr>
              <w:pStyle w:val="2"/>
              <w:rPr>
                <w:rFonts w:hint="default" w:cs="Times New Roman"/>
                <w:kern w:val="2"/>
                <w:sz w:val="21"/>
                <w:szCs w:val="22"/>
                <w:lang w:val="en-US" w:eastAsia="zh-CN" w:bidi="ar-SA"/>
              </w:rPr>
            </w:pP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组织的知识</w:t>
            </w:r>
          </w:p>
          <w:p>
            <w:pPr>
              <w:spacing w:line="360" w:lineRule="auto"/>
              <w:rPr>
                <w:b/>
                <w:szCs w:val="21"/>
              </w:rPr>
            </w:pPr>
          </w:p>
        </w:tc>
        <w:tc>
          <w:tcPr>
            <w:tcW w:w="998" w:type="dxa"/>
          </w:tcPr>
          <w:p>
            <w:pPr>
              <w:spacing w:line="360" w:lineRule="auto"/>
              <w:rPr>
                <w:rFonts w:ascii="宋体" w:hAnsi="宋体" w:cs="宋体"/>
                <w:color w:val="000000"/>
                <w:kern w:val="0"/>
                <w:szCs w:val="21"/>
              </w:rPr>
            </w:pPr>
            <w:r>
              <w:rPr>
                <w:rFonts w:hint="eastAsia" w:ascii="宋体" w:hAnsi="宋体" w:cs="宋体"/>
                <w:color w:val="000000"/>
                <w:kern w:val="0"/>
                <w:szCs w:val="21"/>
              </w:rPr>
              <w:t>Q7.1.6</w:t>
            </w:r>
          </w:p>
          <w:p>
            <w:pPr>
              <w:spacing w:line="360" w:lineRule="auto"/>
              <w:rPr>
                <w:b/>
                <w:szCs w:val="21"/>
              </w:rPr>
            </w:pPr>
          </w:p>
        </w:tc>
        <w:tc>
          <w:tcPr>
            <w:tcW w:w="10004" w:type="dxa"/>
            <w:vAlign w:val="center"/>
          </w:tcPr>
          <w:p>
            <w:pPr>
              <w:spacing w:line="360" w:lineRule="auto"/>
              <w:rPr>
                <w:rFonts w:ascii="宋体" w:hAnsi="宋体" w:cs="宋体"/>
                <w:color w:val="000000"/>
                <w:kern w:val="0"/>
                <w:szCs w:val="21"/>
              </w:rPr>
            </w:pPr>
            <w:r>
              <w:rPr>
                <w:rFonts w:hint="eastAsia" w:ascii="宋体" w:hAnsi="宋体" w:cs="宋体"/>
                <w:color w:val="000000"/>
                <w:kern w:val="0"/>
                <w:szCs w:val="21"/>
              </w:rPr>
              <w:t xml:space="preserve">  公司确定运行过程所需的知识。内部来源包括：公司信息（管理手册、程序文件、管理制度等）、专业技术知识等；外部来源包括：外来资料（如供应商、用户和竞争对手等利益相关者的动向报告、专家、顾客意见的采集、技术动态的跟踪）、市场信息等。</w:t>
            </w:r>
          </w:p>
          <w:p>
            <w:pPr>
              <w:spacing w:line="360" w:lineRule="auto"/>
              <w:ind w:firstLine="420" w:firstLineChars="200"/>
              <w:rPr>
                <w:b/>
                <w:szCs w:val="21"/>
              </w:rPr>
            </w:pPr>
            <w:r>
              <w:rPr>
                <w:rFonts w:hint="eastAsia" w:ascii="宋体" w:hAnsi="宋体" w:cs="宋体"/>
                <w:color w:val="000000"/>
                <w:kern w:val="0"/>
                <w:szCs w:val="21"/>
              </w:rPr>
              <w:t xml:space="preserve">对知识的保持采取文件资料的保存和信息系统存储方式，在公司内部通过传递、交流、培训等方式获取。为获取更多必要的知识采用工作经验总结、顾客意见的采集，行业领先者的最佳实践调查等。主要是从顾客满意度调查收集的顾客抱怨、反馈等知识。 </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能力</w:t>
            </w:r>
          </w:p>
          <w:p>
            <w:pPr>
              <w:spacing w:line="360" w:lineRule="auto"/>
              <w:rPr>
                <w:b/>
                <w:szCs w:val="21"/>
              </w:rPr>
            </w:pPr>
          </w:p>
        </w:tc>
        <w:tc>
          <w:tcPr>
            <w:tcW w:w="998" w:type="dxa"/>
          </w:tcPr>
          <w:p>
            <w:pPr>
              <w:spacing w:line="360" w:lineRule="auto"/>
              <w:rPr>
                <w:b/>
                <w:szCs w:val="21"/>
              </w:rPr>
            </w:pPr>
            <w:r>
              <w:rPr>
                <w:rFonts w:hint="eastAsia" w:ascii="宋体" w:hAnsi="宋体" w:cs="宋体"/>
                <w:color w:val="000000"/>
                <w:kern w:val="0"/>
                <w:szCs w:val="21"/>
              </w:rPr>
              <w:t>QE7.2</w:t>
            </w:r>
          </w:p>
        </w:tc>
        <w:tc>
          <w:tcPr>
            <w:tcW w:w="10004" w:type="dxa"/>
            <w:vAlign w:val="center"/>
          </w:tcPr>
          <w:p>
            <w:pPr>
              <w:spacing w:line="360" w:lineRule="auto"/>
              <w:rPr>
                <w:rFonts w:hint="eastAsia" w:ascii="宋体" w:hAnsi="宋体" w:cs="宋体"/>
                <w:color w:val="000000"/>
                <w:kern w:val="0"/>
                <w:szCs w:val="21"/>
              </w:rPr>
            </w:pPr>
            <w:r>
              <w:rPr>
                <w:rFonts w:hint="eastAsia" w:ascii="宋体" w:hAnsi="宋体" w:cs="宋体"/>
                <w:color w:val="000000"/>
                <w:kern w:val="0"/>
                <w:szCs w:val="21"/>
              </w:rPr>
              <w:t>公司对各岗位能力规定的要求包括了专业技能、岗位资格、能力、工作经验等。对人员素质必须满足任职要求，确定受其控制的工作人员所需具备的能力，岗位全过程操作人员的能力确定，主要是经培训、合格上岗，基于适当的教育、培训或经历，确保这些人员是胜任。查有：人员能力要求资格确认表，公司经识别，</w:t>
            </w:r>
            <w:r>
              <w:rPr>
                <w:rFonts w:hint="eastAsia" w:ascii="宋体" w:hAnsi="宋体" w:cs="宋体"/>
                <w:color w:val="000000"/>
                <w:kern w:val="0"/>
                <w:szCs w:val="21"/>
                <w:lang w:val="en-US" w:eastAsia="zh-CN"/>
              </w:rPr>
              <w:t>检定、校准</w:t>
            </w:r>
            <w:r>
              <w:rPr>
                <w:rFonts w:hint="eastAsia" w:ascii="宋体" w:hAnsi="宋体" w:cs="宋体"/>
                <w:color w:val="000000"/>
                <w:kern w:val="0"/>
                <w:szCs w:val="21"/>
              </w:rPr>
              <w:t>过程为关键过程，对人员岗位人员能力进行了资格确认，均有评审结果，基本符合要求。</w:t>
            </w:r>
          </w:p>
          <w:p>
            <w:pPr>
              <w:spacing w:line="360" w:lineRule="auto"/>
              <w:rPr>
                <w:rFonts w:ascii="宋体" w:hAnsi="宋体" w:cs="宋体"/>
                <w:color w:val="000000"/>
                <w:kern w:val="0"/>
                <w:szCs w:val="21"/>
              </w:rPr>
            </w:pPr>
            <w:r>
              <w:rPr>
                <w:rFonts w:hint="eastAsia" w:ascii="宋体" w:hAnsi="宋体" w:cs="宋体"/>
                <w:color w:val="000000"/>
                <w:kern w:val="0"/>
                <w:szCs w:val="21"/>
              </w:rPr>
              <w:t>查看“</w:t>
            </w:r>
            <w:r>
              <w:rPr>
                <w:rFonts w:hint="eastAsia" w:ascii="宋体" w:hAnsi="宋体" w:cs="宋体"/>
                <w:color w:val="000000"/>
                <w:kern w:val="0"/>
                <w:szCs w:val="21"/>
                <w:lang w:val="en-US" w:eastAsia="zh-CN"/>
              </w:rPr>
              <w:t>2020-</w:t>
            </w:r>
            <w:r>
              <w:rPr>
                <w:rFonts w:hint="eastAsia" w:ascii="宋体" w:hAnsi="宋体" w:cs="宋体"/>
                <w:color w:val="000000"/>
                <w:kern w:val="0"/>
                <w:szCs w:val="21"/>
              </w:rPr>
              <w:t>20</w:t>
            </w:r>
            <w:r>
              <w:rPr>
                <w:rFonts w:ascii="宋体" w:hAnsi="宋体" w:cs="宋体"/>
                <w:color w:val="000000"/>
                <w:kern w:val="0"/>
                <w:szCs w:val="21"/>
              </w:rPr>
              <w:t>2</w:t>
            </w:r>
            <w:r>
              <w:rPr>
                <w:rFonts w:hint="eastAsia" w:ascii="宋体" w:hAnsi="宋体" w:cs="宋体"/>
                <w:color w:val="000000"/>
                <w:kern w:val="0"/>
                <w:szCs w:val="21"/>
                <w:lang w:val="en-US" w:eastAsia="zh-CN"/>
              </w:rPr>
              <w:t>1</w:t>
            </w:r>
            <w:r>
              <w:rPr>
                <w:rFonts w:hint="eastAsia" w:ascii="宋体" w:hAnsi="宋体" w:cs="宋体"/>
                <w:color w:val="000000"/>
                <w:kern w:val="0"/>
                <w:szCs w:val="21"/>
              </w:rPr>
              <w:t>年培训计划”，内容包括质量、环境、安全基础知识培训。列入了培训计划内容如：管理评审知识、管理体系文件培训、安全知识等。查有：培训记录/评价表、培训试题等。</w:t>
            </w:r>
          </w:p>
          <w:p>
            <w:pPr>
              <w:spacing w:line="360" w:lineRule="auto"/>
              <w:rPr>
                <w:rFonts w:ascii="宋体" w:hAnsi="宋体" w:cs="宋体"/>
                <w:color w:val="000000"/>
                <w:kern w:val="0"/>
                <w:szCs w:val="21"/>
              </w:rPr>
            </w:pPr>
            <w:r>
              <w:rPr>
                <w:rFonts w:hint="eastAsia" w:ascii="宋体" w:hAnsi="宋体" w:cs="宋体"/>
                <w:color w:val="000000"/>
                <w:kern w:val="0"/>
                <w:szCs w:val="21"/>
              </w:rPr>
              <w:t>抽查《培训记录/评价表》：</w:t>
            </w:r>
          </w:p>
          <w:p>
            <w:pPr>
              <w:spacing w:line="360" w:lineRule="auto"/>
              <w:rPr>
                <w:rFonts w:ascii="宋体" w:hAnsi="宋体" w:cs="宋体"/>
                <w:color w:val="000000"/>
                <w:kern w:val="0"/>
                <w:szCs w:val="21"/>
              </w:rPr>
            </w:pPr>
            <w:r>
              <w:rPr>
                <w:rFonts w:hint="eastAsia" w:ascii="宋体" w:hAnsi="宋体" w:cs="宋体"/>
                <w:color w:val="000000"/>
                <w:kern w:val="0"/>
                <w:szCs w:val="21"/>
              </w:rPr>
              <w:t>1、20</w:t>
            </w:r>
            <w:r>
              <w:rPr>
                <w:rFonts w:hint="eastAsia" w:ascii="宋体" w:hAnsi="宋体" w:cs="宋体"/>
                <w:color w:val="000000"/>
                <w:kern w:val="0"/>
                <w:szCs w:val="21"/>
                <w:lang w:val="en-US" w:eastAsia="zh-CN"/>
              </w:rPr>
              <w:t>20</w:t>
            </w:r>
            <w:r>
              <w:rPr>
                <w:rFonts w:hint="eastAsia" w:ascii="宋体" w:hAnsi="宋体" w:cs="宋体"/>
                <w:color w:val="000000"/>
                <w:kern w:val="0"/>
                <w:szCs w:val="21"/>
              </w:rPr>
              <w:t>-</w:t>
            </w:r>
            <w:r>
              <w:rPr>
                <w:rFonts w:hint="eastAsia" w:ascii="宋体" w:hAnsi="宋体" w:cs="宋体"/>
                <w:color w:val="000000"/>
                <w:kern w:val="0"/>
                <w:szCs w:val="21"/>
                <w:lang w:val="en-US" w:eastAsia="zh-CN"/>
              </w:rPr>
              <w:t>9/5-7</w:t>
            </w:r>
            <w:r>
              <w:rPr>
                <w:rFonts w:hint="eastAsia" w:ascii="宋体" w:hAnsi="宋体" w:cs="宋体"/>
                <w:color w:val="000000"/>
                <w:kern w:val="0"/>
                <w:szCs w:val="21"/>
              </w:rPr>
              <w:t>：对管理体系文件进行了培训。培训老师：</w:t>
            </w:r>
            <w:r>
              <w:rPr>
                <w:rFonts w:hint="eastAsia" w:ascii="宋体" w:hAnsi="宋体" w:cs="宋体"/>
                <w:color w:val="000000"/>
                <w:kern w:val="0"/>
                <w:szCs w:val="21"/>
                <w:lang w:val="en-US" w:eastAsia="zh-CN"/>
              </w:rPr>
              <w:t>胡老师</w:t>
            </w:r>
            <w:r>
              <w:rPr>
                <w:rFonts w:hint="eastAsia" w:ascii="宋体" w:hAnsi="宋体" w:cs="宋体"/>
                <w:color w:val="000000"/>
                <w:kern w:val="0"/>
                <w:szCs w:val="21"/>
              </w:rPr>
              <w:t>，参加人员：各部门人员等。通过口试对理解情况进行考核，考核结果：全部通过。验证人：</w:t>
            </w:r>
            <w:r>
              <w:rPr>
                <w:rFonts w:hint="eastAsia" w:ascii="宋体" w:hAnsi="宋体" w:cs="宋体"/>
                <w:color w:val="000000"/>
                <w:kern w:val="0"/>
                <w:szCs w:val="21"/>
                <w:lang w:val="en-US" w:eastAsia="zh-CN"/>
              </w:rPr>
              <w:t>赵洁</w:t>
            </w:r>
            <w:r>
              <w:rPr>
                <w:rFonts w:hint="eastAsia" w:ascii="宋体" w:hAnsi="宋体" w:cs="宋体"/>
                <w:color w:val="000000"/>
                <w:kern w:val="0"/>
                <w:szCs w:val="21"/>
              </w:rPr>
              <w:t>。</w:t>
            </w:r>
          </w:p>
          <w:p>
            <w:pPr>
              <w:spacing w:line="360" w:lineRule="auto"/>
              <w:rPr>
                <w:rFonts w:ascii="宋体" w:hAnsi="宋体" w:cs="宋体"/>
                <w:color w:val="000000"/>
                <w:kern w:val="0"/>
                <w:szCs w:val="21"/>
              </w:rPr>
            </w:pPr>
            <w:r>
              <w:rPr>
                <w:rFonts w:hint="eastAsia" w:ascii="宋体" w:hAnsi="宋体" w:cs="宋体"/>
                <w:color w:val="000000"/>
                <w:kern w:val="0"/>
                <w:szCs w:val="21"/>
              </w:rPr>
              <w:t>2、20</w:t>
            </w:r>
            <w:r>
              <w:rPr>
                <w:rFonts w:ascii="宋体" w:hAnsi="宋体" w:cs="宋体"/>
                <w:color w:val="000000"/>
                <w:kern w:val="0"/>
                <w:szCs w:val="21"/>
              </w:rPr>
              <w:t>20</w:t>
            </w:r>
            <w:r>
              <w:rPr>
                <w:rFonts w:hint="eastAsia" w:ascii="宋体" w:hAnsi="宋体" w:cs="宋体"/>
                <w:color w:val="000000"/>
                <w:kern w:val="0"/>
                <w:szCs w:val="21"/>
              </w:rPr>
              <w:t>-</w:t>
            </w:r>
            <w:r>
              <w:rPr>
                <w:rFonts w:hint="eastAsia" w:ascii="宋体" w:hAnsi="宋体" w:cs="宋体"/>
                <w:color w:val="000000"/>
                <w:kern w:val="0"/>
                <w:szCs w:val="21"/>
                <w:lang w:val="en-US" w:eastAsia="zh-CN"/>
              </w:rPr>
              <w:t>10</w:t>
            </w:r>
            <w:r>
              <w:rPr>
                <w:rFonts w:hint="eastAsia" w:ascii="宋体" w:hAnsi="宋体" w:cs="宋体"/>
                <w:color w:val="000000"/>
                <w:kern w:val="0"/>
                <w:szCs w:val="21"/>
              </w:rPr>
              <w:t>-</w:t>
            </w:r>
            <w:r>
              <w:rPr>
                <w:rFonts w:hint="eastAsia" w:ascii="宋体" w:hAnsi="宋体" w:cs="宋体"/>
                <w:color w:val="000000"/>
                <w:kern w:val="0"/>
                <w:szCs w:val="21"/>
                <w:lang w:val="en-US" w:eastAsia="zh-CN"/>
              </w:rPr>
              <w:t>15</w:t>
            </w:r>
            <w:r>
              <w:rPr>
                <w:rFonts w:hint="eastAsia" w:ascii="宋体" w:hAnsi="宋体" w:cs="宋体"/>
                <w:color w:val="000000"/>
                <w:kern w:val="0"/>
                <w:szCs w:val="21"/>
              </w:rPr>
              <w:t>：对环境及安全防护知识进行培训，培训老师：</w:t>
            </w:r>
            <w:r>
              <w:rPr>
                <w:rFonts w:hint="eastAsia" w:ascii="宋体" w:hAnsi="宋体" w:cs="宋体"/>
                <w:color w:val="000000"/>
                <w:kern w:val="0"/>
                <w:szCs w:val="21"/>
                <w:lang w:val="en-US" w:eastAsia="zh-CN"/>
              </w:rPr>
              <w:t>赵洁</w:t>
            </w:r>
            <w:r>
              <w:rPr>
                <w:rFonts w:hint="eastAsia" w:ascii="宋体" w:hAnsi="宋体" w:cs="宋体"/>
                <w:color w:val="000000"/>
                <w:kern w:val="0"/>
                <w:szCs w:val="21"/>
              </w:rPr>
              <w:t>。参加人：各部门人员等。通过口试对理解情况进行考核，考核结果：全部通过。验证人：</w:t>
            </w:r>
            <w:r>
              <w:rPr>
                <w:rFonts w:hint="eastAsia" w:ascii="宋体" w:hAnsi="宋体" w:cs="宋体"/>
                <w:color w:val="000000"/>
                <w:kern w:val="0"/>
                <w:szCs w:val="21"/>
                <w:lang w:val="en-US" w:eastAsia="zh-CN"/>
              </w:rPr>
              <w:t>赵洁</w:t>
            </w:r>
            <w:r>
              <w:rPr>
                <w:rFonts w:hint="eastAsia" w:ascii="宋体" w:hAnsi="宋体" w:cs="宋体"/>
                <w:color w:val="000000"/>
                <w:kern w:val="0"/>
                <w:szCs w:val="21"/>
              </w:rPr>
              <w:t>。</w:t>
            </w:r>
            <w:bookmarkStart w:id="0" w:name="_GoBack"/>
            <w:bookmarkEnd w:id="0"/>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意识</w:t>
            </w:r>
          </w:p>
          <w:p>
            <w:pPr>
              <w:spacing w:line="360" w:lineRule="auto"/>
              <w:rPr>
                <w:b/>
                <w:szCs w:val="21"/>
              </w:rPr>
            </w:pPr>
          </w:p>
        </w:tc>
        <w:tc>
          <w:tcPr>
            <w:tcW w:w="998" w:type="dxa"/>
          </w:tcPr>
          <w:p>
            <w:pPr>
              <w:spacing w:line="360" w:lineRule="auto"/>
              <w:rPr>
                <w:rFonts w:ascii="宋体" w:hAnsi="宋体" w:cs="宋体"/>
                <w:color w:val="000000"/>
                <w:kern w:val="0"/>
                <w:szCs w:val="21"/>
              </w:rPr>
            </w:pPr>
            <w:r>
              <w:rPr>
                <w:rFonts w:hint="eastAsia" w:ascii="宋体" w:hAnsi="宋体" w:cs="宋体"/>
                <w:color w:val="000000"/>
                <w:kern w:val="0"/>
                <w:szCs w:val="21"/>
              </w:rPr>
              <w:t>QE7.3</w:t>
            </w:r>
          </w:p>
          <w:p>
            <w:pPr>
              <w:spacing w:line="360" w:lineRule="auto"/>
              <w:rPr>
                <w:b/>
                <w:szCs w:val="21"/>
              </w:rPr>
            </w:pPr>
          </w:p>
        </w:tc>
        <w:tc>
          <w:tcPr>
            <w:tcW w:w="10004" w:type="dxa"/>
            <w:vAlign w:val="center"/>
          </w:tcPr>
          <w:p>
            <w:pPr>
              <w:spacing w:line="360" w:lineRule="auto"/>
              <w:ind w:firstLine="420" w:firstLineChars="200"/>
            </w:pPr>
            <w:r>
              <w:rPr>
                <w:rFonts w:hint="eastAsia"/>
              </w:rPr>
              <w:t>通过学习、宣传等方法使在组织控制范围内的相关工作人员知道质量、环境、职业健康安全方针；相关的质量、环境、职业健康安全目标；员工对质量、环境、职业健康安全管理体系有效性的贡献，包括改进质量环境绩效的益处；不符合质量环境和职业健康安全管理体系要求的后果。</w:t>
            </w:r>
          </w:p>
          <w:p>
            <w:pPr>
              <w:spacing w:line="360" w:lineRule="auto"/>
              <w:ind w:firstLine="420" w:firstLineChars="200"/>
              <w:rPr>
                <w:rFonts w:hint="default"/>
                <w:szCs w:val="21"/>
                <w:lang w:val="en-US" w:eastAsia="zh-CN"/>
              </w:rPr>
            </w:pPr>
            <w:r>
              <w:rPr>
                <w:rFonts w:hint="eastAsia"/>
              </w:rPr>
              <w:t>询问</w:t>
            </w:r>
            <w:r>
              <w:rPr>
                <w:rFonts w:hint="eastAsia"/>
                <w:lang w:eastAsia="zh-CN"/>
              </w:rPr>
              <w:t>综合办公室孙玲梅</w:t>
            </w:r>
            <w:r>
              <w:rPr>
                <w:rFonts w:hint="eastAsia"/>
              </w:rPr>
              <w:t>知道公司方针，知道所在的工作岗位的质量、环境、职业健康安全目标，也了解自己的工作好坏会影响组织资质量、环境、职业健康安全管理体系的有效运行。</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22" w:type="dxa"/>
            <w:vAlign w:val="top"/>
          </w:tcPr>
          <w:p>
            <w:pPr>
              <w:spacing w:line="360" w:lineRule="auto"/>
              <w:rPr>
                <w:u w:val="none"/>
              </w:rPr>
            </w:pPr>
            <w:r>
              <w:rPr>
                <w:rFonts w:hint="eastAsia"/>
                <w:u w:val="none"/>
              </w:rPr>
              <w:t>沟通</w:t>
            </w:r>
          </w:p>
          <w:p>
            <w:pPr>
              <w:spacing w:line="360" w:lineRule="auto"/>
              <w:rPr>
                <w:rFonts w:ascii="Times New Roman" w:hAnsi="Times New Roman" w:eastAsia="宋体" w:cs="Times New Roman"/>
                <w:kern w:val="2"/>
                <w:sz w:val="21"/>
                <w:u w:val="none"/>
                <w:lang w:val="en-US" w:eastAsia="zh-CN" w:bidi="ar-SA"/>
              </w:rPr>
            </w:pPr>
          </w:p>
        </w:tc>
        <w:tc>
          <w:tcPr>
            <w:tcW w:w="998" w:type="dxa"/>
            <w:vAlign w:val="top"/>
          </w:tcPr>
          <w:p>
            <w:pPr>
              <w:spacing w:line="360" w:lineRule="auto"/>
              <w:rPr>
                <w:rFonts w:ascii="Times New Roman" w:hAnsi="Times New Roman" w:eastAsia="宋体" w:cs="Times New Roman"/>
                <w:kern w:val="2"/>
                <w:sz w:val="21"/>
                <w:u w:val="none"/>
                <w:lang w:val="en-US" w:eastAsia="zh-CN" w:bidi="ar-SA"/>
              </w:rPr>
            </w:pPr>
            <w:r>
              <w:rPr>
                <w:rFonts w:hint="eastAsia"/>
                <w:u w:val="none"/>
              </w:rPr>
              <w:t>QE7.4</w:t>
            </w:r>
          </w:p>
        </w:tc>
        <w:tc>
          <w:tcPr>
            <w:tcW w:w="10004" w:type="dxa"/>
            <w:vAlign w:val="center"/>
          </w:tcPr>
          <w:p>
            <w:pPr>
              <w:spacing w:line="360" w:lineRule="auto"/>
              <w:ind w:firstLine="420" w:firstLineChars="200"/>
              <w:rPr>
                <w:szCs w:val="21"/>
                <w:u w:val="none"/>
              </w:rPr>
            </w:pPr>
            <w:r>
              <w:rPr>
                <w:rFonts w:hint="eastAsia"/>
                <w:szCs w:val="21"/>
                <w:u w:val="none"/>
              </w:rPr>
              <w:t>公司编制并实施了《信息交流</w:t>
            </w:r>
            <w:r>
              <w:rPr>
                <w:rFonts w:hint="eastAsia"/>
                <w:szCs w:val="21"/>
                <w:u w:val="none"/>
                <w:lang w:val="en-US" w:eastAsia="zh-CN"/>
              </w:rPr>
              <w:t>控制</w:t>
            </w:r>
            <w:r>
              <w:rPr>
                <w:rFonts w:hint="eastAsia"/>
                <w:szCs w:val="21"/>
                <w:u w:val="none"/>
              </w:rPr>
              <w:t>程序》，规定了职责、工作流程，包括内部沟通和外部沟通的方法和要求。</w:t>
            </w:r>
          </w:p>
          <w:p>
            <w:pPr>
              <w:spacing w:line="360" w:lineRule="auto"/>
              <w:ind w:firstLine="420" w:firstLineChars="200"/>
              <w:rPr>
                <w:szCs w:val="21"/>
                <w:u w:val="none"/>
              </w:rPr>
            </w:pPr>
            <w:r>
              <w:rPr>
                <w:rFonts w:hint="eastAsia"/>
                <w:szCs w:val="21"/>
                <w:u w:val="none"/>
              </w:rPr>
              <w:t>公司确定了质量、环境、职业健康安全管理体系相关的内部和外部沟通，包括：沟通什么；何时沟通；与谁沟通；如何沟通；由谁负责，公司内部以口头、会议、电话、微信、QQ等形式沟通；会议有年度、季度和月度会议；沟通相关服务要求、环境和职业健康安全事项。对外沟通由</w:t>
            </w:r>
            <w:r>
              <w:rPr>
                <w:rFonts w:hint="eastAsia"/>
                <w:szCs w:val="21"/>
                <w:u w:val="none"/>
                <w:lang w:eastAsia="zh-CN"/>
              </w:rPr>
              <w:t>综合办公室</w:t>
            </w:r>
            <w:r>
              <w:rPr>
                <w:rFonts w:hint="eastAsia"/>
                <w:szCs w:val="21"/>
                <w:u w:val="none"/>
              </w:rPr>
              <w:t>统一负责。</w:t>
            </w:r>
          </w:p>
          <w:p>
            <w:pPr>
              <w:spacing w:line="360" w:lineRule="auto"/>
              <w:ind w:firstLine="420" w:firstLineChars="200"/>
              <w:rPr>
                <w:szCs w:val="21"/>
                <w:u w:val="none"/>
              </w:rPr>
            </w:pPr>
            <w:r>
              <w:rPr>
                <w:rFonts w:hint="eastAsia"/>
                <w:szCs w:val="21"/>
                <w:u w:val="none"/>
              </w:rPr>
              <w:t>现场查阅内部交流：方针、目标完成情况、内审和管理评审报告、不符合信息等。</w:t>
            </w:r>
          </w:p>
          <w:p>
            <w:pPr>
              <w:spacing w:line="360" w:lineRule="auto"/>
              <w:ind w:firstLine="420" w:firstLineChars="200"/>
              <w:rPr>
                <w:szCs w:val="21"/>
                <w:u w:val="none"/>
              </w:rPr>
            </w:pPr>
            <w:r>
              <w:rPr>
                <w:rFonts w:hint="eastAsia"/>
                <w:szCs w:val="21"/>
                <w:u w:val="none"/>
              </w:rPr>
              <w:t>外部交流：通过发放《相关方环境及职业健康安全告知书》与相关方就相关环境、职业健康安全信息进行相互沟通。</w:t>
            </w:r>
          </w:p>
          <w:p>
            <w:pPr>
              <w:spacing w:line="360" w:lineRule="auto"/>
              <w:ind w:firstLine="420" w:firstLineChars="200"/>
              <w:rPr>
                <w:szCs w:val="21"/>
                <w:u w:val="none"/>
              </w:rPr>
            </w:pPr>
            <w:r>
              <w:rPr>
                <w:rFonts w:hint="eastAsia"/>
                <w:szCs w:val="21"/>
                <w:u w:val="none"/>
              </w:rPr>
              <w:t>和员工</w:t>
            </w:r>
            <w:r>
              <w:rPr>
                <w:rFonts w:hint="eastAsia"/>
                <w:szCs w:val="21"/>
                <w:u w:val="none"/>
                <w:lang w:eastAsia="zh-CN"/>
              </w:rPr>
              <w:t>潘志伟</w:t>
            </w:r>
            <w:r>
              <w:rPr>
                <w:rFonts w:hint="eastAsia"/>
                <w:szCs w:val="21"/>
                <w:u w:val="none"/>
              </w:rPr>
              <w:t>面谈，知道公司的管理者代表及职业健康安全事务代表。</w:t>
            </w:r>
          </w:p>
          <w:p>
            <w:pPr>
              <w:spacing w:line="360" w:lineRule="auto"/>
              <w:ind w:firstLine="420" w:firstLineChars="200"/>
              <w:rPr>
                <w:rFonts w:hint="eastAsia" w:ascii="Times New Roman" w:hAnsi="Times New Roman" w:eastAsia="宋体" w:cs="Times New Roman"/>
                <w:kern w:val="2"/>
                <w:sz w:val="21"/>
                <w:szCs w:val="21"/>
                <w:u w:val="none"/>
                <w:lang w:val="en-US" w:eastAsia="zh-CN" w:bidi="ar-SA"/>
              </w:rPr>
            </w:pPr>
            <w:r>
              <w:rPr>
                <w:rFonts w:hint="eastAsia"/>
                <w:szCs w:val="21"/>
                <w:u w:val="none"/>
              </w:rPr>
              <w:t>审核周期内未发生因沟通不善造成的的问题。</w:t>
            </w:r>
          </w:p>
        </w:tc>
        <w:tc>
          <w:tcPr>
            <w:tcW w:w="1585" w:type="dxa"/>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成文信息</w:t>
            </w:r>
          </w:p>
          <w:p>
            <w:pPr>
              <w:spacing w:line="360" w:lineRule="auto"/>
              <w:rPr>
                <w:rFonts w:ascii="宋体" w:hAnsi="宋体" w:cs="宋体"/>
                <w:szCs w:val="21"/>
              </w:rPr>
            </w:pPr>
          </w:p>
        </w:tc>
        <w:tc>
          <w:tcPr>
            <w:tcW w:w="998" w:type="dxa"/>
          </w:tcPr>
          <w:p>
            <w:pPr>
              <w:spacing w:line="360" w:lineRule="auto"/>
              <w:rPr>
                <w:rFonts w:ascii="宋体" w:hAnsi="宋体" w:cs="宋体"/>
                <w:color w:val="000000"/>
                <w:kern w:val="0"/>
                <w:szCs w:val="21"/>
              </w:rPr>
            </w:pPr>
            <w:r>
              <w:rPr>
                <w:rFonts w:hint="eastAsia" w:ascii="宋体" w:hAnsi="宋体" w:cs="宋体"/>
                <w:color w:val="000000"/>
                <w:kern w:val="0"/>
                <w:szCs w:val="21"/>
              </w:rPr>
              <w:t>QE7.5</w:t>
            </w:r>
          </w:p>
          <w:p>
            <w:pPr>
              <w:spacing w:line="360" w:lineRule="auto"/>
              <w:rPr>
                <w:rFonts w:ascii="宋体" w:hAnsi="宋体" w:cs="宋体"/>
                <w:color w:val="000000"/>
                <w:kern w:val="0"/>
                <w:szCs w:val="21"/>
              </w:rPr>
            </w:pPr>
          </w:p>
        </w:tc>
        <w:tc>
          <w:tcPr>
            <w:tcW w:w="10004" w:type="dxa"/>
            <w:vAlign w:val="center"/>
          </w:tcPr>
          <w:p>
            <w:pPr>
              <w:spacing w:line="360" w:lineRule="auto"/>
              <w:ind w:firstLine="420" w:firstLineChars="200"/>
              <w:rPr>
                <w:szCs w:val="21"/>
              </w:rPr>
            </w:pPr>
            <w:r>
              <w:rPr>
                <w:rFonts w:hint="eastAsia"/>
                <w:szCs w:val="21"/>
              </w:rPr>
              <w:t>公司形成了文件化的管理手册、程序文件、管理制度以及所要求的记录。公司编制的程序文件基本符合标准要求的所有程序文件，对体系及其相互关系在手册中做了描述，记录表单满足公司目前的质量体系运行的需要。</w:t>
            </w:r>
          </w:p>
          <w:p>
            <w:pPr>
              <w:spacing w:line="360" w:lineRule="auto"/>
              <w:ind w:firstLine="420" w:firstLineChars="200"/>
              <w:rPr>
                <w:szCs w:val="21"/>
              </w:rPr>
            </w:pPr>
            <w:r>
              <w:rPr>
                <w:rFonts w:hint="eastAsia"/>
                <w:szCs w:val="21"/>
              </w:rPr>
              <w:t>公司文件分类：一级文件：管理手册。</w:t>
            </w:r>
          </w:p>
          <w:p>
            <w:pPr>
              <w:spacing w:line="360" w:lineRule="auto"/>
              <w:ind w:firstLine="420" w:firstLineChars="200"/>
              <w:rPr>
                <w:szCs w:val="21"/>
              </w:rPr>
            </w:pPr>
            <w:r>
              <w:rPr>
                <w:rFonts w:hint="eastAsia"/>
                <w:szCs w:val="21"/>
              </w:rPr>
              <w:t>二级文件：公司编制了程序文件，包括质量、环境、职业健康安全标准要求的所有程序。</w:t>
            </w:r>
          </w:p>
          <w:p>
            <w:pPr>
              <w:spacing w:line="360" w:lineRule="auto"/>
              <w:ind w:firstLine="420" w:firstLineChars="200"/>
              <w:rPr>
                <w:szCs w:val="21"/>
              </w:rPr>
            </w:pPr>
            <w:r>
              <w:rPr>
                <w:rFonts w:hint="eastAsia"/>
                <w:szCs w:val="21"/>
              </w:rPr>
              <w:t>三层次文件：管理制度，外来文件：包括</w:t>
            </w:r>
            <w:r>
              <w:rPr>
                <w:rFonts w:hint="eastAsia"/>
                <w:szCs w:val="21"/>
                <w:lang w:val="en-US" w:eastAsia="zh-CN"/>
              </w:rPr>
              <w:t>计量器具的检定、校准、技术咨询及服务；仪器仪表的维护管理实施细则等</w:t>
            </w:r>
            <w:r>
              <w:rPr>
                <w:rFonts w:hint="eastAsia"/>
                <w:szCs w:val="21"/>
              </w:rPr>
              <w:t>，环境、职业健康安全及运行记录，满足公司目前的管理体系运行的需要。体系文件基本能保证有效性和效率的要求。</w:t>
            </w:r>
          </w:p>
          <w:p>
            <w:pPr>
              <w:spacing w:line="360" w:lineRule="auto"/>
              <w:ind w:firstLine="420" w:firstLineChars="200"/>
              <w:rPr>
                <w:szCs w:val="21"/>
              </w:rPr>
            </w:pPr>
            <w:r>
              <w:rPr>
                <w:rFonts w:hint="eastAsia"/>
                <w:szCs w:val="21"/>
              </w:rPr>
              <w:t>查公司按照文审要求对管理手册进行了修改，符合要求。</w:t>
            </w:r>
          </w:p>
          <w:p>
            <w:pPr>
              <w:spacing w:line="360" w:lineRule="auto"/>
              <w:ind w:firstLine="420" w:firstLineChars="200"/>
              <w:rPr>
                <w:rFonts w:hint="eastAsia" w:ascii="Times New Roman" w:hAnsi="Times New Roman" w:eastAsia="宋体" w:cs="Times New Roman"/>
                <w:szCs w:val="21"/>
              </w:rPr>
            </w:pPr>
            <w:r>
              <w:rPr>
                <w:rFonts w:hint="eastAsia"/>
                <w:szCs w:val="21"/>
              </w:rPr>
              <w:t>公司编</w:t>
            </w:r>
            <w:r>
              <w:rPr>
                <w:rFonts w:hint="eastAsia" w:ascii="Times New Roman" w:hAnsi="Times New Roman" w:eastAsia="宋体" w:cs="Times New Roman"/>
                <w:szCs w:val="21"/>
              </w:rPr>
              <w:t>制并实施了《文件控制程序》，文件包括：管理手册、程序文件、各种管理制度等。</w:t>
            </w:r>
          </w:p>
          <w:p>
            <w:pPr>
              <w:spacing w:line="360" w:lineRule="auto"/>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rPr>
              <w:t>无企业标准。</w:t>
            </w:r>
          </w:p>
          <w:p>
            <w:pPr>
              <w:spacing w:line="360" w:lineRule="auto"/>
              <w:ind w:firstLine="420" w:firstLineChars="200"/>
              <w:rPr>
                <w:szCs w:val="21"/>
              </w:rPr>
            </w:pPr>
            <w:r>
              <w:rPr>
                <w:rFonts w:hint="eastAsia"/>
                <w:szCs w:val="21"/>
              </w:rPr>
              <w:t>查管理手册、程序文</w:t>
            </w:r>
            <w:r>
              <w:rPr>
                <w:rFonts w:hint="eastAsia" w:ascii="Times New Roman" w:hAnsi="Times New Roman" w:eastAsia="宋体" w:cs="Times New Roman"/>
                <w:szCs w:val="21"/>
              </w:rPr>
              <w:t>件等文件，编制：文件编制小组，审核：</w:t>
            </w:r>
            <w:r>
              <w:rPr>
                <w:rFonts w:hint="eastAsia" w:cs="Times New Roman"/>
                <w:szCs w:val="21"/>
                <w:lang w:eastAsia="zh-CN"/>
              </w:rPr>
              <w:t>赵洁</w:t>
            </w:r>
            <w:r>
              <w:rPr>
                <w:rFonts w:hint="eastAsia"/>
                <w:szCs w:val="21"/>
              </w:rPr>
              <w:t>，批准：</w:t>
            </w:r>
            <w:r>
              <w:rPr>
                <w:rFonts w:hint="eastAsia"/>
                <w:szCs w:val="21"/>
                <w:lang w:eastAsia="zh-CN"/>
              </w:rPr>
              <w:t>赵平</w:t>
            </w:r>
            <w:r>
              <w:rPr>
                <w:rFonts w:hint="eastAsia"/>
                <w:szCs w:val="21"/>
              </w:rPr>
              <w:t>，20</w:t>
            </w:r>
            <w:r>
              <w:rPr>
                <w:rFonts w:hint="eastAsia"/>
                <w:szCs w:val="21"/>
                <w:lang w:val="en-US" w:eastAsia="zh-CN"/>
              </w:rPr>
              <w:t>20</w:t>
            </w:r>
            <w:r>
              <w:rPr>
                <w:rFonts w:hint="eastAsia"/>
                <w:szCs w:val="21"/>
              </w:rPr>
              <w:t>年</w:t>
            </w:r>
            <w:r>
              <w:rPr>
                <w:rFonts w:hint="eastAsia"/>
                <w:szCs w:val="21"/>
                <w:lang w:val="en-US" w:eastAsia="zh-CN"/>
              </w:rPr>
              <w:t>9</w:t>
            </w:r>
            <w:r>
              <w:rPr>
                <w:rFonts w:hint="eastAsia"/>
                <w:szCs w:val="21"/>
              </w:rPr>
              <w:t>月</w:t>
            </w:r>
            <w:r>
              <w:rPr>
                <w:rFonts w:hint="eastAsia"/>
                <w:szCs w:val="21"/>
                <w:lang w:val="en-US" w:eastAsia="zh-CN"/>
              </w:rPr>
              <w:t>1</w:t>
            </w:r>
            <w:r>
              <w:rPr>
                <w:rFonts w:hint="eastAsia"/>
                <w:szCs w:val="21"/>
              </w:rPr>
              <w:t>日，查文件编审批手续齐全、文件清晰、编号符合文件控制程序要求。查</w:t>
            </w:r>
            <w:r>
              <w:rPr>
                <w:rFonts w:hint="eastAsia"/>
                <w:szCs w:val="21"/>
                <w:lang w:eastAsia="zh-CN"/>
              </w:rPr>
              <w:t>综合办公室</w:t>
            </w:r>
            <w:r>
              <w:rPr>
                <w:rFonts w:hint="eastAsia"/>
                <w:szCs w:val="21"/>
              </w:rPr>
              <w:t>文件，都有受控标识，有效版本。</w:t>
            </w:r>
          </w:p>
          <w:p>
            <w:pPr>
              <w:spacing w:line="360" w:lineRule="auto"/>
              <w:ind w:firstLine="420" w:firstLineChars="200"/>
              <w:rPr>
                <w:b/>
                <w:bCs/>
                <w:color w:val="FF0000"/>
                <w:szCs w:val="21"/>
              </w:rPr>
            </w:pPr>
            <w:r>
              <w:rPr>
                <w:rFonts w:hint="eastAsia"/>
                <w:szCs w:val="21"/>
              </w:rPr>
              <w:t>查外来文件：与产品要求和质量、环境、职业健康安全管理体系运行有关的国家法律法规、标准等；行业、地方颁布的条例、标准、规范、规程、办法等，查外来文件具体有质量管理体系标准、产品国家标准、环境管理体系标准、职业健康安全管理体系标准等。</w:t>
            </w:r>
          </w:p>
          <w:p>
            <w:pPr>
              <w:spacing w:line="360" w:lineRule="auto"/>
              <w:ind w:firstLine="420" w:firstLineChars="200"/>
              <w:rPr>
                <w:szCs w:val="21"/>
              </w:rPr>
            </w:pPr>
            <w:r>
              <w:rPr>
                <w:rFonts w:hint="eastAsia"/>
                <w:szCs w:val="21"/>
              </w:rPr>
              <w:t>查文件发放：</w:t>
            </w:r>
            <w:r>
              <w:rPr>
                <w:rFonts w:hint="eastAsia"/>
                <w:szCs w:val="21"/>
                <w:lang w:eastAsia="zh-CN"/>
              </w:rPr>
              <w:t>综合办公室</w:t>
            </w:r>
            <w:r>
              <w:rPr>
                <w:rFonts w:hint="eastAsia"/>
                <w:szCs w:val="21"/>
              </w:rPr>
              <w:t>20</w:t>
            </w:r>
            <w:r>
              <w:rPr>
                <w:rFonts w:hint="eastAsia"/>
                <w:szCs w:val="21"/>
                <w:lang w:val="en-US" w:eastAsia="zh-CN"/>
              </w:rPr>
              <w:t>20</w:t>
            </w:r>
            <w:r>
              <w:rPr>
                <w:rFonts w:hint="eastAsia"/>
                <w:szCs w:val="21"/>
              </w:rPr>
              <w:t>年</w:t>
            </w:r>
            <w:r>
              <w:rPr>
                <w:rFonts w:hint="eastAsia"/>
                <w:szCs w:val="21"/>
                <w:lang w:val="en-US" w:eastAsia="zh-CN"/>
              </w:rPr>
              <w:t>9</w:t>
            </w:r>
            <w:r>
              <w:rPr>
                <w:rFonts w:hint="eastAsia"/>
                <w:szCs w:val="21"/>
              </w:rPr>
              <w:t>月</w:t>
            </w:r>
            <w:r>
              <w:rPr>
                <w:rFonts w:hint="eastAsia"/>
                <w:szCs w:val="21"/>
                <w:lang w:val="en-US" w:eastAsia="zh-CN"/>
              </w:rPr>
              <w:t>1</w:t>
            </w:r>
            <w:r>
              <w:rPr>
                <w:rFonts w:hint="eastAsia"/>
                <w:szCs w:val="21"/>
              </w:rPr>
              <w:t>日下发了管理手册、程序文件、管理制度汇编等文件。</w:t>
            </w:r>
          </w:p>
          <w:p>
            <w:pPr>
              <w:spacing w:line="360" w:lineRule="auto"/>
              <w:ind w:firstLine="420" w:firstLineChars="200"/>
              <w:rPr>
                <w:szCs w:val="21"/>
              </w:rPr>
            </w:pPr>
            <w:r>
              <w:rPr>
                <w:rFonts w:hint="eastAsia"/>
                <w:szCs w:val="21"/>
              </w:rPr>
              <w:t>查</w:t>
            </w:r>
            <w:r>
              <w:rPr>
                <w:rFonts w:hint="eastAsia"/>
                <w:szCs w:val="21"/>
                <w:lang w:eastAsia="zh-CN"/>
              </w:rPr>
              <w:t>综合办公室</w:t>
            </w:r>
            <w:r>
              <w:rPr>
                <w:rFonts w:hint="eastAsia"/>
                <w:szCs w:val="21"/>
              </w:rPr>
              <w:t>文件有标识，检索方便，文件夹存放于文件柜内，防护符合要求。</w:t>
            </w:r>
          </w:p>
          <w:p>
            <w:pPr>
              <w:spacing w:line="360" w:lineRule="auto"/>
              <w:ind w:firstLine="420" w:firstLineChars="200"/>
              <w:rPr>
                <w:szCs w:val="21"/>
              </w:rPr>
            </w:pPr>
            <w:r>
              <w:rPr>
                <w:rFonts w:hint="eastAsia"/>
                <w:szCs w:val="21"/>
              </w:rPr>
              <w:t>公司编制并实施了《记录控制程序》对管理体系记录的标识、贮存、保护、检索、保存期限和处置等作了明确规定，符合要求。公司提供《记录一览表》—有内审报告、供方评价表、采购清单、管理评审报告等记录。明确了记录名称、编号、使用保存部门、保存期限等，并经审核后使用。公司各种记录由各使用部门保存，查阅</w:t>
            </w:r>
            <w:r>
              <w:rPr>
                <w:rFonts w:hint="eastAsia"/>
                <w:szCs w:val="21"/>
                <w:lang w:eastAsia="zh-CN"/>
              </w:rPr>
              <w:t>综合办公室</w:t>
            </w:r>
            <w:r>
              <w:rPr>
                <w:rFonts w:hint="eastAsia"/>
                <w:szCs w:val="21"/>
              </w:rPr>
              <w:t>保存的记录环境情况，归档文件、记录存放于通风、干燥、防蛀的文件柜内，环境干燥、通风，符合文件归档的要求。</w:t>
            </w:r>
          </w:p>
          <w:p>
            <w:pPr>
              <w:spacing w:line="360" w:lineRule="auto"/>
              <w:ind w:firstLine="420" w:firstLineChars="200"/>
              <w:rPr>
                <w:szCs w:val="21"/>
              </w:rPr>
            </w:pPr>
            <w:r>
              <w:rPr>
                <w:rFonts w:hint="eastAsia"/>
                <w:szCs w:val="21"/>
              </w:rPr>
              <w:t>抽查归档文件整理情况，</w:t>
            </w:r>
            <w:r>
              <w:rPr>
                <w:rFonts w:hint="eastAsia"/>
                <w:szCs w:val="21"/>
                <w:lang w:eastAsia="zh-CN"/>
              </w:rPr>
              <w:t>综合办公室</w:t>
            </w:r>
            <w:r>
              <w:rPr>
                <w:rFonts w:hint="eastAsia"/>
                <w:szCs w:val="21"/>
              </w:rPr>
              <w:t>已将文件进行了分类，按文件的名称、编号及时间装文件袋进行归档，文件较清洁，字迹清晰，检索方便，抽查有内部审核资料、管理评审资料等，均已装订成册。</w:t>
            </w:r>
          </w:p>
          <w:p>
            <w:pPr>
              <w:spacing w:line="360" w:lineRule="auto"/>
              <w:ind w:firstLine="420" w:firstLineChars="200"/>
              <w:rPr>
                <w:szCs w:val="21"/>
              </w:rPr>
            </w:pPr>
            <w:r>
              <w:rPr>
                <w:rFonts w:hint="eastAsia"/>
                <w:szCs w:val="21"/>
              </w:rPr>
              <w:t>外来记录（如顾客投诉记录等）由相关部门负责保管、归档。</w:t>
            </w:r>
          </w:p>
          <w:p>
            <w:pPr>
              <w:spacing w:line="360" w:lineRule="auto"/>
              <w:ind w:firstLine="420" w:firstLineChars="200"/>
              <w:rPr>
                <w:szCs w:val="21"/>
              </w:rPr>
            </w:pPr>
            <w:r>
              <w:rPr>
                <w:rFonts w:hint="eastAsia"/>
                <w:szCs w:val="21"/>
              </w:rPr>
              <w:t>原件记录原则上不外借，其它记录查阅时须有关部门同意后，方可查阅。</w:t>
            </w:r>
          </w:p>
          <w:p>
            <w:pPr>
              <w:spacing w:line="360" w:lineRule="auto"/>
              <w:ind w:firstLine="420" w:firstLineChars="200"/>
              <w:rPr>
                <w:szCs w:val="21"/>
              </w:rPr>
            </w:pPr>
            <w:r>
              <w:rPr>
                <w:rFonts w:hint="eastAsia"/>
                <w:szCs w:val="21"/>
              </w:rPr>
              <w:t>记录控制基本有效。</w:t>
            </w:r>
          </w:p>
        </w:tc>
        <w:tc>
          <w:tcPr>
            <w:tcW w:w="1585" w:type="dxa"/>
          </w:tcPr>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22" w:type="dxa"/>
          </w:tcPr>
          <w:p>
            <w:pPr>
              <w:spacing w:line="360" w:lineRule="auto"/>
              <w:rPr>
                <w:rFonts w:hint="eastAsia" w:ascii="宋体" w:hAnsi="宋体" w:eastAsia="宋体" w:cs="宋体"/>
                <w:szCs w:val="21"/>
                <w:lang w:eastAsia="zh-CN"/>
              </w:rPr>
            </w:pPr>
            <w:r>
              <w:rPr>
                <w:rFonts w:hint="eastAsia" w:ascii="宋体" w:hAnsi="宋体" w:cs="Arial"/>
                <w:sz w:val="21"/>
                <w:szCs w:val="21"/>
              </w:rPr>
              <w:t>分析与评价</w:t>
            </w:r>
          </w:p>
        </w:tc>
        <w:tc>
          <w:tcPr>
            <w:tcW w:w="998" w:type="dxa"/>
          </w:tcPr>
          <w:p>
            <w:pPr>
              <w:spacing w:line="360" w:lineRule="auto"/>
              <w:rPr>
                <w:rFonts w:hint="default" w:ascii="宋体" w:hAnsi="宋体" w:eastAsia="宋体" w:cs="宋体"/>
                <w:szCs w:val="21"/>
                <w:lang w:val="en-US" w:eastAsia="zh-CN"/>
              </w:rPr>
            </w:pPr>
            <w:r>
              <w:rPr>
                <w:rFonts w:hint="eastAsia" w:ascii="宋体" w:hAnsi="宋体" w:eastAsia="宋体" w:cs="宋体"/>
                <w:szCs w:val="21"/>
                <w:lang w:eastAsia="zh-CN"/>
              </w:rPr>
              <w:t>Q9.1.</w:t>
            </w:r>
            <w:r>
              <w:rPr>
                <w:rFonts w:hint="eastAsia" w:ascii="宋体" w:hAnsi="宋体" w:eastAsia="宋体" w:cs="宋体"/>
                <w:szCs w:val="21"/>
                <w:lang w:val="en-US" w:eastAsia="zh-CN"/>
              </w:rPr>
              <w:t>3</w:t>
            </w:r>
          </w:p>
        </w:tc>
        <w:tc>
          <w:tcPr>
            <w:tcW w:w="10004" w:type="dxa"/>
            <w:vAlign w:val="center"/>
          </w:tcPr>
          <w:p>
            <w:pPr>
              <w:keepNext w:val="0"/>
              <w:keepLines w:val="0"/>
              <w:suppressLineNumbers w:val="0"/>
              <w:spacing w:before="0" w:beforeAutospacing="0" w:after="0" w:afterAutospacing="0" w:line="360" w:lineRule="auto"/>
              <w:ind w:left="0" w:right="0" w:firstLine="420" w:firstLineChars="200"/>
              <w:rPr>
                <w:rFonts w:hint="eastAsia" w:ascii="宋体" w:hAnsi="宋体"/>
                <w:sz w:val="21"/>
                <w:szCs w:val="21"/>
              </w:rPr>
            </w:pPr>
            <w:r>
              <w:rPr>
                <w:rFonts w:hint="eastAsia" w:ascii="宋体" w:hAnsi="宋体"/>
                <w:sz w:val="21"/>
                <w:szCs w:val="21"/>
              </w:rPr>
              <w:t>经查：部门根据监视和测量获得的数据和信息，组织相关部门进行了分析评价。包括：对公司及各部门质量目标完成情见进行分析，确定</w:t>
            </w:r>
            <w:r>
              <w:rPr>
                <w:rFonts w:hint="eastAsia" w:ascii="宋体" w:hAnsi="宋体"/>
                <w:sz w:val="21"/>
                <w:szCs w:val="21"/>
                <w:lang w:val="en-US" w:eastAsia="zh-CN"/>
              </w:rPr>
              <w:t>管理</w:t>
            </w:r>
            <w:r>
              <w:rPr>
                <w:rFonts w:hint="eastAsia" w:ascii="宋体" w:hAnsi="宋体"/>
                <w:sz w:val="21"/>
                <w:szCs w:val="21"/>
              </w:rPr>
              <w:t>体系运行状况（见管理评审输入）；对顾客满意有关的信息进行了分析，以确定顾客满意程度（见</w:t>
            </w:r>
            <w:r>
              <w:rPr>
                <w:rFonts w:hint="eastAsia" w:ascii="宋体" w:hAnsi="宋体"/>
                <w:sz w:val="21"/>
                <w:szCs w:val="21"/>
                <w:lang w:val="en-US" w:eastAsia="zh-CN"/>
              </w:rPr>
              <w:t>运营管理</w:t>
            </w:r>
            <w:r>
              <w:rPr>
                <w:rFonts w:hint="eastAsia" w:ascii="宋体" w:hAnsi="宋体"/>
                <w:sz w:val="21"/>
                <w:szCs w:val="21"/>
                <w:lang w:eastAsia="zh-CN"/>
              </w:rPr>
              <w:t>部</w:t>
            </w:r>
            <w:r>
              <w:rPr>
                <w:rFonts w:hint="eastAsia" w:ascii="宋体" w:hAnsi="宋体"/>
                <w:sz w:val="21"/>
                <w:szCs w:val="21"/>
              </w:rPr>
              <w:t>9.1.2）；</w:t>
            </w:r>
          </w:p>
          <w:p>
            <w:pPr>
              <w:keepNext w:val="0"/>
              <w:keepLines w:val="0"/>
              <w:suppressLineNumbers w:val="0"/>
              <w:spacing w:before="0" w:beforeAutospacing="0" w:after="0" w:afterAutospacing="0" w:line="360" w:lineRule="auto"/>
              <w:ind w:left="0" w:right="0" w:firstLine="420" w:firstLineChars="200"/>
              <w:rPr>
                <w:rFonts w:hint="eastAsia" w:ascii="宋体" w:hAnsi="宋体"/>
                <w:sz w:val="21"/>
                <w:szCs w:val="21"/>
              </w:rPr>
            </w:pPr>
            <w:r>
              <w:rPr>
                <w:rFonts w:hint="eastAsia" w:ascii="宋体" w:hAnsi="宋体"/>
                <w:sz w:val="21"/>
                <w:szCs w:val="21"/>
              </w:rPr>
              <w:t>对内部审核的有关信息和应对风险措施的有效性进行分析，以确定</w:t>
            </w:r>
            <w:r>
              <w:rPr>
                <w:rFonts w:hint="eastAsia" w:ascii="宋体" w:hAnsi="宋体"/>
                <w:sz w:val="21"/>
                <w:szCs w:val="21"/>
                <w:lang w:val="en-US" w:eastAsia="zh-CN"/>
              </w:rPr>
              <w:t>管理</w:t>
            </w:r>
            <w:r>
              <w:rPr>
                <w:rFonts w:hint="eastAsia" w:ascii="宋体" w:hAnsi="宋体"/>
                <w:sz w:val="21"/>
                <w:szCs w:val="21"/>
              </w:rPr>
              <w:t>管理体系的有效性（见</w:t>
            </w:r>
            <w:r>
              <w:rPr>
                <w:rFonts w:hint="eastAsia" w:ascii="宋体" w:hAnsi="宋体"/>
                <w:sz w:val="21"/>
                <w:szCs w:val="21"/>
                <w:lang w:val="en-US" w:eastAsia="zh-CN"/>
              </w:rPr>
              <w:t>综合办公室</w:t>
            </w:r>
            <w:r>
              <w:rPr>
                <w:rFonts w:hint="eastAsia" w:ascii="宋体" w:hAnsi="宋体"/>
                <w:sz w:val="21"/>
                <w:szCs w:val="21"/>
              </w:rPr>
              <w:t>9.2）。</w:t>
            </w:r>
          </w:p>
          <w:p>
            <w:pPr>
              <w:spacing w:line="360" w:lineRule="auto"/>
              <w:ind w:firstLine="420" w:firstLineChars="200"/>
              <w:rPr>
                <w:rFonts w:hint="eastAsia" w:ascii="宋体" w:hAnsi="宋体" w:cs="宋体"/>
                <w:sz w:val="21"/>
                <w:szCs w:val="21"/>
                <w:lang w:eastAsia="zh-CN"/>
              </w:rPr>
            </w:pPr>
            <w:r>
              <w:rPr>
                <w:rFonts w:hint="eastAsia" w:ascii="宋体" w:hAnsi="宋体"/>
                <w:sz w:val="21"/>
                <w:szCs w:val="21"/>
              </w:rPr>
              <w:t>部门在汇总以上分析结果的基础上，分析针对风险和机遇所采取措施的有效性，积极寻找</w:t>
            </w:r>
            <w:r>
              <w:rPr>
                <w:rFonts w:hint="eastAsia" w:ascii="宋体" w:hAnsi="宋体"/>
                <w:sz w:val="21"/>
                <w:szCs w:val="21"/>
                <w:lang w:val="en-US" w:eastAsia="zh-CN"/>
              </w:rPr>
              <w:t>管理</w:t>
            </w:r>
            <w:r>
              <w:rPr>
                <w:rFonts w:hint="eastAsia" w:ascii="宋体" w:hAnsi="宋体"/>
                <w:sz w:val="21"/>
                <w:szCs w:val="21"/>
              </w:rPr>
              <w:t>管理体系持续改进的机会，通过管理评审会议的改进决策进行</w:t>
            </w:r>
            <w:r>
              <w:rPr>
                <w:rFonts w:hint="eastAsia" w:ascii="宋体" w:hAnsi="宋体"/>
                <w:sz w:val="21"/>
                <w:szCs w:val="21"/>
                <w:lang w:val="en-US" w:eastAsia="zh-CN"/>
              </w:rPr>
              <w:t>管理</w:t>
            </w:r>
            <w:r>
              <w:rPr>
                <w:rFonts w:hint="eastAsia" w:ascii="宋体" w:hAnsi="宋体"/>
                <w:sz w:val="21"/>
                <w:szCs w:val="21"/>
              </w:rPr>
              <w:t>管理体系的持续改进（见相关部门检查表）。</w:t>
            </w:r>
          </w:p>
        </w:tc>
        <w:tc>
          <w:tcPr>
            <w:tcW w:w="1585" w:type="dxa"/>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4709" w:type="dxa"/>
            <w:gridSpan w:val="4"/>
          </w:tcPr>
          <w:p>
            <w:pPr>
              <w:spacing w:line="360" w:lineRule="auto"/>
              <w:rPr>
                <w:rFonts w:hint="eastAsia"/>
              </w:rPr>
            </w:pPr>
            <w:r>
              <w:rPr>
                <w:rFonts w:hint="eastAsia"/>
                <w:lang w:val="en-US" w:eastAsia="zh-CN"/>
              </w:rPr>
              <w:t>备注：</w:t>
            </w:r>
          </w:p>
        </w:tc>
      </w:tr>
    </w:tbl>
    <w:p>
      <w:r>
        <w:ptab w:relativeTo="margin" w:alignment="center" w:leader="none"/>
      </w:r>
    </w:p>
    <w:p>
      <w:pPr>
        <w:pStyle w:val="4"/>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0" b="127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Qaq5dYAAAAKAQAADwAAAAAAAAABACAAAAAiAAAAZHJzL2Rvd25yZXYueG1sUEsBAhQAFAAA&#10;AAgAh07iQNRv0G8qAgAAPgQAAA4AAAAAAAAAAQAgAAAAJQEAAGRycy9lMm9Eb2MueG1sUEsFBgAA&#10;AAAGAAYAWQEAAMEFA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1"/>
        <w:rFonts w:hint="default"/>
        <w:w w:val="90"/>
      </w:rPr>
      <w:t>Beijing International Standard united Certification Co.,Ltd.</w:t>
    </w:r>
  </w:p>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B16"/>
    <w:rsid w:val="00011ABE"/>
    <w:rsid w:val="00076C21"/>
    <w:rsid w:val="00077C88"/>
    <w:rsid w:val="000A75BA"/>
    <w:rsid w:val="000B0CD5"/>
    <w:rsid w:val="000B6409"/>
    <w:rsid w:val="000F14E3"/>
    <w:rsid w:val="00115E0C"/>
    <w:rsid w:val="00121BF2"/>
    <w:rsid w:val="001311B9"/>
    <w:rsid w:val="00133E72"/>
    <w:rsid w:val="00140940"/>
    <w:rsid w:val="00140A69"/>
    <w:rsid w:val="0016036E"/>
    <w:rsid w:val="001937C7"/>
    <w:rsid w:val="001945D7"/>
    <w:rsid w:val="001A05B6"/>
    <w:rsid w:val="001A3B63"/>
    <w:rsid w:val="001B19FF"/>
    <w:rsid w:val="001C57A3"/>
    <w:rsid w:val="001F0E7B"/>
    <w:rsid w:val="001F37CF"/>
    <w:rsid w:val="001F77E0"/>
    <w:rsid w:val="002533F4"/>
    <w:rsid w:val="00273847"/>
    <w:rsid w:val="002871F4"/>
    <w:rsid w:val="00287457"/>
    <w:rsid w:val="002B36EC"/>
    <w:rsid w:val="002C22A6"/>
    <w:rsid w:val="002E29A0"/>
    <w:rsid w:val="002E55EA"/>
    <w:rsid w:val="002F05BD"/>
    <w:rsid w:val="003015FB"/>
    <w:rsid w:val="003273C2"/>
    <w:rsid w:val="003445A0"/>
    <w:rsid w:val="003541E0"/>
    <w:rsid w:val="00364D71"/>
    <w:rsid w:val="00382525"/>
    <w:rsid w:val="00384FEF"/>
    <w:rsid w:val="00397D3F"/>
    <w:rsid w:val="003C254E"/>
    <w:rsid w:val="003E434A"/>
    <w:rsid w:val="0042030E"/>
    <w:rsid w:val="0043712F"/>
    <w:rsid w:val="004450A7"/>
    <w:rsid w:val="0047490C"/>
    <w:rsid w:val="004819AB"/>
    <w:rsid w:val="004832CA"/>
    <w:rsid w:val="00497971"/>
    <w:rsid w:val="004B20B2"/>
    <w:rsid w:val="004B4B24"/>
    <w:rsid w:val="004D14C1"/>
    <w:rsid w:val="004D6FC5"/>
    <w:rsid w:val="004E6448"/>
    <w:rsid w:val="004E7665"/>
    <w:rsid w:val="004E7D7E"/>
    <w:rsid w:val="004F4E79"/>
    <w:rsid w:val="00503F34"/>
    <w:rsid w:val="005074C4"/>
    <w:rsid w:val="00507E17"/>
    <w:rsid w:val="00516205"/>
    <w:rsid w:val="00532DE5"/>
    <w:rsid w:val="00551E35"/>
    <w:rsid w:val="0056074B"/>
    <w:rsid w:val="00567182"/>
    <w:rsid w:val="005676DC"/>
    <w:rsid w:val="005A2330"/>
    <w:rsid w:val="005A23B2"/>
    <w:rsid w:val="005B6C34"/>
    <w:rsid w:val="005D2531"/>
    <w:rsid w:val="005F04E5"/>
    <w:rsid w:val="00621578"/>
    <w:rsid w:val="00621EA2"/>
    <w:rsid w:val="006256EF"/>
    <w:rsid w:val="00646303"/>
    <w:rsid w:val="0066353B"/>
    <w:rsid w:val="00663A52"/>
    <w:rsid w:val="00665E60"/>
    <w:rsid w:val="00672093"/>
    <w:rsid w:val="00672CC5"/>
    <w:rsid w:val="00680222"/>
    <w:rsid w:val="006842EC"/>
    <w:rsid w:val="006E4E1C"/>
    <w:rsid w:val="006F2650"/>
    <w:rsid w:val="006F2C8A"/>
    <w:rsid w:val="00713C1D"/>
    <w:rsid w:val="00715292"/>
    <w:rsid w:val="007469D5"/>
    <w:rsid w:val="0075560B"/>
    <w:rsid w:val="00756C63"/>
    <w:rsid w:val="00761387"/>
    <w:rsid w:val="00774749"/>
    <w:rsid w:val="007861D2"/>
    <w:rsid w:val="00797BA7"/>
    <w:rsid w:val="007B4E33"/>
    <w:rsid w:val="007C5A7D"/>
    <w:rsid w:val="007C6A31"/>
    <w:rsid w:val="007D3A58"/>
    <w:rsid w:val="007E6050"/>
    <w:rsid w:val="00814B16"/>
    <w:rsid w:val="008242EA"/>
    <w:rsid w:val="008265BB"/>
    <w:rsid w:val="00834CE8"/>
    <w:rsid w:val="0085042B"/>
    <w:rsid w:val="008631F9"/>
    <w:rsid w:val="008667F0"/>
    <w:rsid w:val="008A1509"/>
    <w:rsid w:val="008B3B2F"/>
    <w:rsid w:val="008C01A2"/>
    <w:rsid w:val="008D2E87"/>
    <w:rsid w:val="008D3475"/>
    <w:rsid w:val="00911D5E"/>
    <w:rsid w:val="0092791F"/>
    <w:rsid w:val="00954D65"/>
    <w:rsid w:val="00955C0E"/>
    <w:rsid w:val="00976860"/>
    <w:rsid w:val="00991AEB"/>
    <w:rsid w:val="00992529"/>
    <w:rsid w:val="009977CF"/>
    <w:rsid w:val="009B1072"/>
    <w:rsid w:val="00A01526"/>
    <w:rsid w:val="00A23D1B"/>
    <w:rsid w:val="00A30F85"/>
    <w:rsid w:val="00A52229"/>
    <w:rsid w:val="00A76F84"/>
    <w:rsid w:val="00A86196"/>
    <w:rsid w:val="00A94706"/>
    <w:rsid w:val="00AB5CFD"/>
    <w:rsid w:val="00AE6698"/>
    <w:rsid w:val="00B007F3"/>
    <w:rsid w:val="00B03AA7"/>
    <w:rsid w:val="00B119B7"/>
    <w:rsid w:val="00B361C1"/>
    <w:rsid w:val="00B531A8"/>
    <w:rsid w:val="00B53B05"/>
    <w:rsid w:val="00B6239E"/>
    <w:rsid w:val="00B6507C"/>
    <w:rsid w:val="00C277AC"/>
    <w:rsid w:val="00C41F32"/>
    <w:rsid w:val="00C4272D"/>
    <w:rsid w:val="00C44388"/>
    <w:rsid w:val="00C60EB8"/>
    <w:rsid w:val="00C827AA"/>
    <w:rsid w:val="00C856E9"/>
    <w:rsid w:val="00C94573"/>
    <w:rsid w:val="00CA1BE3"/>
    <w:rsid w:val="00CD1E5C"/>
    <w:rsid w:val="00CD4ED7"/>
    <w:rsid w:val="00CD58BC"/>
    <w:rsid w:val="00D05DB2"/>
    <w:rsid w:val="00D6037A"/>
    <w:rsid w:val="00D937E0"/>
    <w:rsid w:val="00DA22FF"/>
    <w:rsid w:val="00DE1A2C"/>
    <w:rsid w:val="00DE2FCE"/>
    <w:rsid w:val="00DF19AB"/>
    <w:rsid w:val="00E0114F"/>
    <w:rsid w:val="00E11BD3"/>
    <w:rsid w:val="00E17655"/>
    <w:rsid w:val="00E219A3"/>
    <w:rsid w:val="00E41911"/>
    <w:rsid w:val="00E556FE"/>
    <w:rsid w:val="00E707CA"/>
    <w:rsid w:val="00E944DC"/>
    <w:rsid w:val="00E97080"/>
    <w:rsid w:val="00E97654"/>
    <w:rsid w:val="00EA2EA2"/>
    <w:rsid w:val="00EB1A5C"/>
    <w:rsid w:val="00EB6AAC"/>
    <w:rsid w:val="00ED41DC"/>
    <w:rsid w:val="00EE43A0"/>
    <w:rsid w:val="00EE6BAB"/>
    <w:rsid w:val="00F01F3E"/>
    <w:rsid w:val="00F05246"/>
    <w:rsid w:val="00F11424"/>
    <w:rsid w:val="00F13731"/>
    <w:rsid w:val="00F43CC1"/>
    <w:rsid w:val="00F5455B"/>
    <w:rsid w:val="00F62C59"/>
    <w:rsid w:val="00FB5026"/>
    <w:rsid w:val="00FB6FAA"/>
    <w:rsid w:val="00FF01F3"/>
    <w:rsid w:val="00FF0A51"/>
    <w:rsid w:val="00FF1D21"/>
    <w:rsid w:val="00FF5E6D"/>
    <w:rsid w:val="020129FE"/>
    <w:rsid w:val="021522E9"/>
    <w:rsid w:val="056D41CE"/>
    <w:rsid w:val="0A755CD1"/>
    <w:rsid w:val="0C625E1B"/>
    <w:rsid w:val="0EC6526F"/>
    <w:rsid w:val="10CC15C0"/>
    <w:rsid w:val="11200350"/>
    <w:rsid w:val="113D29BF"/>
    <w:rsid w:val="11B844E6"/>
    <w:rsid w:val="129057E6"/>
    <w:rsid w:val="12F34AEF"/>
    <w:rsid w:val="12FD2E93"/>
    <w:rsid w:val="14B90815"/>
    <w:rsid w:val="14CE341E"/>
    <w:rsid w:val="158E45BA"/>
    <w:rsid w:val="163E2E11"/>
    <w:rsid w:val="176A4559"/>
    <w:rsid w:val="1A5D4ABC"/>
    <w:rsid w:val="1A822FA7"/>
    <w:rsid w:val="1B3936B3"/>
    <w:rsid w:val="1BE846E9"/>
    <w:rsid w:val="1D4C4E60"/>
    <w:rsid w:val="1DC40F3E"/>
    <w:rsid w:val="1E17525C"/>
    <w:rsid w:val="1E4D12B6"/>
    <w:rsid w:val="1EED5939"/>
    <w:rsid w:val="24EE4865"/>
    <w:rsid w:val="26C41E1E"/>
    <w:rsid w:val="26EB66E8"/>
    <w:rsid w:val="29545097"/>
    <w:rsid w:val="2A965859"/>
    <w:rsid w:val="31553C92"/>
    <w:rsid w:val="315A769F"/>
    <w:rsid w:val="328D0D90"/>
    <w:rsid w:val="32B3737A"/>
    <w:rsid w:val="332F6E2E"/>
    <w:rsid w:val="34C52C58"/>
    <w:rsid w:val="35635C60"/>
    <w:rsid w:val="35655683"/>
    <w:rsid w:val="35726E70"/>
    <w:rsid w:val="36106290"/>
    <w:rsid w:val="366131A6"/>
    <w:rsid w:val="36BE5965"/>
    <w:rsid w:val="38CE76F2"/>
    <w:rsid w:val="38E44796"/>
    <w:rsid w:val="391D226E"/>
    <w:rsid w:val="399F2547"/>
    <w:rsid w:val="39DF646A"/>
    <w:rsid w:val="3B4618DA"/>
    <w:rsid w:val="3E676E01"/>
    <w:rsid w:val="3ED56DC4"/>
    <w:rsid w:val="3FC72C4C"/>
    <w:rsid w:val="4074648A"/>
    <w:rsid w:val="42684491"/>
    <w:rsid w:val="45060F3E"/>
    <w:rsid w:val="47432516"/>
    <w:rsid w:val="479F541D"/>
    <w:rsid w:val="47AB2FC0"/>
    <w:rsid w:val="47D469F7"/>
    <w:rsid w:val="48012986"/>
    <w:rsid w:val="4913714F"/>
    <w:rsid w:val="4A95487A"/>
    <w:rsid w:val="4C7E4A49"/>
    <w:rsid w:val="4DED56EF"/>
    <w:rsid w:val="4EF0704D"/>
    <w:rsid w:val="4F3B0425"/>
    <w:rsid w:val="51816C5F"/>
    <w:rsid w:val="53BC11C5"/>
    <w:rsid w:val="5493123C"/>
    <w:rsid w:val="57C66E86"/>
    <w:rsid w:val="57D815F2"/>
    <w:rsid w:val="592C22FA"/>
    <w:rsid w:val="5D502239"/>
    <w:rsid w:val="5E177A89"/>
    <w:rsid w:val="5E8414C5"/>
    <w:rsid w:val="62E8549C"/>
    <w:rsid w:val="639A03A2"/>
    <w:rsid w:val="63D305A2"/>
    <w:rsid w:val="65C94933"/>
    <w:rsid w:val="66047BEC"/>
    <w:rsid w:val="66B77DFD"/>
    <w:rsid w:val="67500C85"/>
    <w:rsid w:val="684313BC"/>
    <w:rsid w:val="689D56E8"/>
    <w:rsid w:val="690E7415"/>
    <w:rsid w:val="693E7AF0"/>
    <w:rsid w:val="697C4C83"/>
    <w:rsid w:val="69F51D33"/>
    <w:rsid w:val="6B8345B9"/>
    <w:rsid w:val="6CFD42CE"/>
    <w:rsid w:val="6E3312F4"/>
    <w:rsid w:val="6FC67861"/>
    <w:rsid w:val="70F12CCB"/>
    <w:rsid w:val="711D594D"/>
    <w:rsid w:val="71637404"/>
    <w:rsid w:val="723164F6"/>
    <w:rsid w:val="72DA6CFE"/>
    <w:rsid w:val="73371E1F"/>
    <w:rsid w:val="7367290E"/>
    <w:rsid w:val="73C01D14"/>
    <w:rsid w:val="747D06DB"/>
    <w:rsid w:val="752D00F5"/>
    <w:rsid w:val="76B43CA8"/>
    <w:rsid w:val="789B5077"/>
    <w:rsid w:val="7A172C96"/>
    <w:rsid w:val="7A3F072B"/>
    <w:rsid w:val="7A695463"/>
    <w:rsid w:val="7AB34E8A"/>
    <w:rsid w:val="7AD237C2"/>
    <w:rsid w:val="7BC807EB"/>
    <w:rsid w:val="7F6838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line="420" w:lineRule="exact"/>
    </w:pPr>
    <w:rPr>
      <w:sz w:val="24"/>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99"/>
    <w:rPr>
      <w:rFonts w:ascii="Times New Roman" w:hAnsi="Times New Roman" w:eastAsia="宋体" w:cs="Times New Roman"/>
      <w:sz w:val="18"/>
      <w:szCs w:val="18"/>
    </w:rPr>
  </w:style>
  <w:style w:type="character" w:customStyle="1" w:styleId="9">
    <w:name w:val="页脚 字符"/>
    <w:basedOn w:val="7"/>
    <w:link w:val="4"/>
    <w:qFormat/>
    <w:uiPriority w:val="99"/>
    <w:rPr>
      <w:rFonts w:ascii="Times New Roman" w:hAnsi="Times New Roman" w:eastAsia="宋体" w:cs="Times New Roman"/>
      <w:sz w:val="18"/>
      <w:szCs w:val="18"/>
    </w:rPr>
  </w:style>
  <w:style w:type="character" w:customStyle="1" w:styleId="10">
    <w:name w:val="批注框文本 字符"/>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customStyle="1" w:styleId="12">
    <w:name w:val="Char"/>
    <w:basedOn w:val="1"/>
    <w:qFormat/>
    <w:uiPriority w:val="0"/>
    <w:rPr>
      <w:rFonts w:ascii="仿宋_GB2312" w:eastAsia="仿宋_GB2312"/>
      <w:b/>
      <w:sz w:val="32"/>
      <w:szCs w:val="32"/>
    </w:rPr>
  </w:style>
  <w:style w:type="paragraph" w:customStyle="1" w:styleId="13">
    <w:name w:val="_Style 2"/>
    <w:basedOn w:val="1"/>
    <w:qFormat/>
    <w:uiPriority w:val="34"/>
    <w:pPr>
      <w:ind w:firstLine="420" w:firstLineChars="200"/>
    </w:pPr>
    <w:rPr>
      <w:rFonts w:ascii="Calibri" w:hAnsi="Calibri"/>
      <w:sz w:val="24"/>
      <w:szCs w:val="22"/>
    </w:rPr>
  </w:style>
  <w:style w:type="paragraph" w:styleId="14">
    <w:name w:val="List Paragraph"/>
    <w:basedOn w:val="1"/>
    <w:qFormat/>
    <w:uiPriority w:val="99"/>
    <w:pPr>
      <w:ind w:firstLine="420" w:firstLineChars="200"/>
    </w:pPr>
  </w:style>
  <w:style w:type="paragraph" w:customStyle="1" w:styleId="15">
    <w:name w:val="表格文字"/>
    <w:basedOn w:val="1"/>
    <w:qFormat/>
    <w:uiPriority w:val="99"/>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779</Words>
  <Characters>4442</Characters>
  <Lines>37</Lines>
  <Paragraphs>10</Paragraphs>
  <TotalTime>20</TotalTime>
  <ScaleCrop>false</ScaleCrop>
  <LinksUpToDate>false</LinksUpToDate>
  <CharactersWithSpaces>5211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2020-04-19T05:25:00Z</dcterms:created>
  <dc:creator>微软用户</dc:creator>
  <cp:lastModifiedBy>LIL</cp:lastModifiedBy>
  <dcterms:modified xsi:type="dcterms:W3CDTF">2021-03-20T13:14:35Z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FDA77C99974549D59D2C515FCD16A34A</vt:lpwstr>
  </property>
</Properties>
</file>