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西安博兰科技发展有限公司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西安博兰科技发展有限公司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西安市碑林区友谊西路127号西北工业大学西苑后勤产业集团办公楼313室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西安市莲湖区二环南路西段202号九座花园东区405室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屈蓓</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15114807490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赵飞</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殷军</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计算机应用软件开发及销售、计算机信息系统集成及服务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33.02.01;33.02.02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119" w:type="dxa"/>
            <w:vAlign w:val="center"/>
          </w:tcPr>
          <w:p>
            <w:pPr>
              <w:spacing w:line="240" w:lineRule="auto"/>
              <w:jc w:val="center"/>
              <w:rPr>
                <w:rFonts w:hint="eastAsia" w:ascii="宋体" w:hAnsi="宋体" w:eastAsia="宋体" w:cs="Times New Roman"/>
                <w:b/>
                <w:bCs w:val="0"/>
                <w:color w:val="000000"/>
                <w:sz w:val="20"/>
                <w:szCs w:val="20"/>
                <w:lang w:val="en-US" w:eastAsia="zh-CN"/>
              </w:rPr>
            </w:pPr>
            <w:r>
              <w:rPr>
                <w:rFonts w:hint="eastAsia" w:ascii="宋体" w:hAnsi="宋体" w:eastAsia="宋体" w:cs="Times New Roman"/>
                <w:b/>
                <w:bCs w:val="0"/>
                <w:color w:val="000000"/>
                <w:sz w:val="20"/>
                <w:szCs w:val="20"/>
                <w:lang w:val="en-US" w:eastAsia="zh-CN"/>
              </w:rPr>
              <w:t>高管层</w:t>
            </w:r>
          </w:p>
        </w:tc>
        <w:tc>
          <w:tcPr>
            <w:tcW w:w="6804" w:type="dxa"/>
            <w:vAlign w:val="top"/>
          </w:tcPr>
          <w:p>
            <w:pPr>
              <w:spacing w:line="240" w:lineRule="auto"/>
              <w:jc w:val="left"/>
              <w:rPr>
                <w:rFonts w:ascii="宋体" w:hAnsi="宋体"/>
                <w:b/>
                <w:color w:val="000000" w:themeColor="text1"/>
                <w:spacing w:val="-20"/>
                <w:sz w:val="20"/>
                <w:szCs w:val="20"/>
                <w:u w:val="single"/>
              </w:rPr>
            </w:pPr>
            <w:r>
              <w:rPr>
                <w:rFonts w:hint="eastAsia" w:ascii="宋体" w:hAnsi="宋体"/>
                <w:b/>
                <w:bCs w:val="0"/>
                <w:color w:val="000000" w:themeColor="text1"/>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eastAsia" w:ascii="宋体" w:hAnsi="宋体" w:eastAsia="宋体" w:cs="Times New Roman"/>
                <w:b/>
                <w:bCs w:val="0"/>
                <w:color w:val="000000"/>
                <w:sz w:val="20"/>
                <w:szCs w:val="20"/>
                <w:lang w:val="en-US" w:eastAsia="zh-CN"/>
              </w:rPr>
            </w:pPr>
            <w:r>
              <w:rPr>
                <w:rFonts w:hint="eastAsia" w:ascii="宋体" w:hAnsi="宋体" w:eastAsia="宋体" w:cs="Times New Roman"/>
                <w:b/>
                <w:bCs w:val="0"/>
                <w:color w:val="000000"/>
                <w:sz w:val="20"/>
                <w:szCs w:val="20"/>
                <w:lang w:val="en-US" w:eastAsia="zh-CN"/>
              </w:rPr>
              <w:t>办公室</w:t>
            </w:r>
          </w:p>
        </w:tc>
        <w:tc>
          <w:tcPr>
            <w:tcW w:w="6804" w:type="dxa"/>
            <w:vAlign w:val="top"/>
          </w:tcPr>
          <w:p>
            <w:pPr>
              <w:spacing w:line="240" w:lineRule="auto"/>
              <w:jc w:val="left"/>
              <w:rPr>
                <w:rFonts w:ascii="宋体" w:hAnsi="宋体"/>
                <w:b/>
                <w:color w:val="000000" w:themeColor="text1"/>
                <w:spacing w:val="-20"/>
                <w:sz w:val="20"/>
                <w:szCs w:val="20"/>
                <w:u w:val="single"/>
              </w:rPr>
            </w:pPr>
            <w:r>
              <w:rPr>
                <w:rFonts w:hint="eastAsia" w:ascii="宋体" w:hAnsi="宋体"/>
                <w:b/>
                <w:bCs w:val="0"/>
                <w:color w:val="000000" w:themeColor="text1"/>
                <w:sz w:val="21"/>
                <w:szCs w:val="21"/>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eastAsia" w:ascii="宋体" w:hAnsi="宋体" w:eastAsia="宋体" w:cs="Times New Roman"/>
                <w:b/>
                <w:bCs w:val="0"/>
                <w:color w:val="000000"/>
                <w:sz w:val="20"/>
                <w:szCs w:val="20"/>
                <w:lang w:val="en-US" w:eastAsia="zh-CN"/>
              </w:rPr>
            </w:pPr>
            <w:r>
              <w:rPr>
                <w:rFonts w:hint="eastAsia" w:ascii="宋体" w:hAnsi="宋体" w:eastAsia="宋体" w:cs="Times New Roman"/>
                <w:b/>
                <w:bCs w:val="0"/>
                <w:color w:val="000000"/>
                <w:sz w:val="20"/>
                <w:szCs w:val="20"/>
                <w:lang w:val="en-US" w:eastAsia="zh-CN"/>
              </w:rPr>
              <w:t>市场项目部</w:t>
            </w:r>
          </w:p>
        </w:tc>
        <w:tc>
          <w:tcPr>
            <w:tcW w:w="6804" w:type="dxa"/>
            <w:vAlign w:val="top"/>
          </w:tcPr>
          <w:p>
            <w:pPr>
              <w:spacing w:line="240" w:lineRule="auto"/>
              <w:jc w:val="both"/>
              <w:rPr>
                <w:rFonts w:ascii="宋体" w:hAnsi="宋体"/>
                <w:b/>
                <w:color w:val="000000" w:themeColor="text1"/>
                <w:spacing w:val="-20"/>
                <w:sz w:val="20"/>
                <w:szCs w:val="20"/>
                <w:u w:val="single"/>
              </w:rPr>
            </w:pPr>
            <w:r>
              <w:rPr>
                <w:rFonts w:hint="eastAsia" w:ascii="宋体" w:hAnsi="宋体"/>
                <w:b/>
                <w:bCs w:val="0"/>
                <w:color w:val="000000" w:themeColor="text1"/>
                <w:sz w:val="21"/>
                <w:szCs w:val="21"/>
              </w:rPr>
              <w:t>采购过程相关等过程、销售过程、客户满意等及相应质量管理体系运行过程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eastAsia" w:ascii="宋体" w:hAnsi="宋体" w:eastAsia="宋体" w:cs="Times New Roman"/>
                <w:b/>
                <w:bCs w:val="0"/>
                <w:color w:val="000000"/>
                <w:sz w:val="20"/>
                <w:szCs w:val="20"/>
                <w:lang w:val="en-US" w:eastAsia="zh-CN"/>
              </w:rPr>
            </w:pPr>
            <w:r>
              <w:rPr>
                <w:rFonts w:hint="eastAsia" w:ascii="宋体" w:hAnsi="宋体" w:eastAsia="宋体" w:cs="Times New Roman"/>
                <w:b/>
                <w:bCs w:val="0"/>
                <w:color w:val="000000"/>
                <w:sz w:val="20"/>
                <w:szCs w:val="20"/>
                <w:lang w:val="en-US" w:eastAsia="zh-CN"/>
              </w:rPr>
              <w:t>工程技术部</w:t>
            </w:r>
          </w:p>
        </w:tc>
        <w:tc>
          <w:tcPr>
            <w:tcW w:w="6804" w:type="dxa"/>
            <w:vAlign w:val="top"/>
          </w:tcPr>
          <w:p>
            <w:pPr>
              <w:spacing w:line="240" w:lineRule="auto"/>
              <w:jc w:val="left"/>
              <w:rPr>
                <w:rFonts w:ascii="宋体" w:hAnsi="宋体"/>
                <w:b/>
                <w:color w:val="000000" w:themeColor="text1"/>
                <w:spacing w:val="-20"/>
                <w:sz w:val="20"/>
                <w:szCs w:val="20"/>
                <w:u w:val="single"/>
              </w:rPr>
            </w:pPr>
            <w:r>
              <w:rPr>
                <w:rFonts w:hint="eastAsia" w:ascii="宋体" w:hAnsi="宋体"/>
                <w:b/>
                <w:bCs w:val="0"/>
                <w:color w:val="000000"/>
                <w:spacing w:val="-20"/>
                <w:sz w:val="21"/>
                <w:szCs w:val="21"/>
              </w:rPr>
              <w:t>基础设施、</w:t>
            </w:r>
            <w:r>
              <w:rPr>
                <w:rFonts w:hint="eastAsia" w:ascii="宋体" w:hAnsi="宋体"/>
                <w:b/>
                <w:bCs w:val="0"/>
                <w:color w:val="000000" w:themeColor="text1"/>
                <w:sz w:val="21"/>
                <w:szCs w:val="21"/>
                <w:lang w:val="en-US" w:eastAsia="zh-CN"/>
              </w:rPr>
              <w:t>生产</w:t>
            </w:r>
            <w:r>
              <w:rPr>
                <w:rFonts w:ascii="宋体" w:hAnsi="宋体"/>
                <w:b/>
                <w:bCs w:val="0"/>
                <w:color w:val="000000" w:themeColor="text1"/>
                <w:sz w:val="21"/>
                <w:szCs w:val="21"/>
              </w:rPr>
              <w:t>过程管理</w:t>
            </w:r>
            <w:r>
              <w:rPr>
                <w:rFonts w:hint="eastAsia" w:ascii="宋体" w:hAnsi="宋体"/>
                <w:b/>
                <w:bCs w:val="0"/>
                <w:color w:val="000000" w:themeColor="text1"/>
                <w:sz w:val="21"/>
                <w:szCs w:val="21"/>
              </w:rPr>
              <w:t>；</w:t>
            </w:r>
            <w:r>
              <w:rPr>
                <w:rFonts w:ascii="宋体" w:hAnsi="宋体"/>
                <w:b/>
                <w:bCs w:val="0"/>
                <w:color w:val="000000" w:themeColor="text1"/>
                <w:sz w:val="21"/>
                <w:szCs w:val="21"/>
              </w:rPr>
              <w:t>设备管理</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17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rPr>
            </w:pPr>
            <w:r>
              <w:t>1、</w:t>
            </w:r>
            <w:r>
              <w:rPr>
                <w:rFonts w:hint="eastAsia"/>
              </w:rPr>
              <w:t>组织及其环境的识别情况</w:t>
            </w:r>
          </w:p>
          <w:p>
            <w:pPr>
              <w:spacing w:line="360" w:lineRule="auto"/>
              <w:ind w:firstLine="420" w:firstLineChars="200"/>
              <w:rPr>
                <w:rFonts w:hint="eastAsia"/>
                <w:szCs w:val="21"/>
                <w:lang w:val="en-US" w:eastAsia="zh-CN"/>
              </w:rPr>
            </w:pPr>
            <w:r>
              <w:rPr>
                <w:rFonts w:hint="eastAsia"/>
                <w:szCs w:val="21"/>
                <w:lang w:val="en-US" w:eastAsia="zh-CN"/>
              </w:rPr>
              <w:t>西安博兰科技发展有限公司（简称博兰科技）成立于2003年8月，位于陕西省西安市高新技术产业开发区，公司是一家集煤矿六大系统运维、智能化建设、自动化PLC、软件开发及售后服务为一体，专业从事煤炭行业软件研发与信息运维服务的高新技术企业。</w:t>
            </w:r>
          </w:p>
          <w:p>
            <w:pPr>
              <w:spacing w:line="400" w:lineRule="exact"/>
              <w:ind w:firstLine="420" w:firstLineChars="200"/>
              <w:rPr>
                <w:rFonts w:hint="default"/>
                <w:szCs w:val="21"/>
                <w:lang w:val="en-US" w:eastAsia="zh-CN"/>
              </w:rPr>
            </w:pPr>
            <w:r>
              <w:rPr>
                <w:rFonts w:hint="eastAsia"/>
                <w:szCs w:val="21"/>
                <w:lang w:val="en-US" w:eastAsia="zh-CN"/>
              </w:rPr>
              <w:t>提供法人营业执照（三证合一），公司成立于2003年8月，营业执照社会统一信用代码：91610103750220766F,法人代表人 赵飞；注册资本：200万元。经营期限：长期。</w:t>
            </w:r>
          </w:p>
          <w:p>
            <w:pPr>
              <w:spacing w:line="360" w:lineRule="auto"/>
              <w:ind w:firstLine="420" w:firstLineChars="200"/>
              <w:rPr>
                <w:rFonts w:hint="default" w:ascii="宋体" w:hAnsi="宋体" w:eastAsia="宋体" w:cs="宋体"/>
                <w:kern w:val="2"/>
                <w:sz w:val="21"/>
                <w:szCs w:val="21"/>
                <w:lang w:val="en-US" w:eastAsia="zh-CN" w:bidi="ar-SA"/>
              </w:rPr>
            </w:pPr>
            <w:r>
              <w:rPr>
                <w:rFonts w:hint="eastAsia"/>
                <w:szCs w:val="21"/>
                <w:lang w:val="en-US" w:eastAsia="zh-CN"/>
              </w:rPr>
              <w:t>注册地址：西安市碑林区友谊西路127号西北工业大学西苑后勤产业集团办公楼313室</w:t>
            </w:r>
            <w:r>
              <w:rPr>
                <w:rFonts w:hint="eastAsia" w:ascii="宋体" w:hAnsi="宋体" w:eastAsia="宋体" w:cs="宋体"/>
                <w:kern w:val="2"/>
                <w:sz w:val="21"/>
                <w:szCs w:val="21"/>
                <w:lang w:val="en-US" w:eastAsia="zh-CN" w:bidi="ar-SA"/>
              </w:rPr>
              <w:t>经营地址为：</w:t>
            </w:r>
            <w:r>
              <w:rPr>
                <w:rFonts w:hint="eastAsia"/>
                <w:szCs w:val="21"/>
                <w:lang w:val="en-US" w:eastAsia="zh-CN"/>
              </w:rPr>
              <w:t>陕西省西安市莲湖区二环南路西段202号九座花园东区405室。办公面积160平米，</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pStyle w:val="3"/>
              <w:ind w:left="480" w:leftChars="0"/>
              <w:rPr>
                <w:b/>
                <w:color w:val="000000" w:themeColor="text1"/>
                <w:sz w:val="20"/>
                <w:szCs w:val="20"/>
              </w:rPr>
            </w:pPr>
            <w:r>
              <w:rPr>
                <w:rFonts w:hint="eastAsia" w:ascii="宋体" w:hAnsi="宋体" w:eastAsia="宋体" w:cs="宋体"/>
                <w:kern w:val="2"/>
                <w:sz w:val="21"/>
                <w:szCs w:val="21"/>
                <w:lang w:val="en-US" w:eastAsia="zh-CN" w:bidi="ar-SA"/>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360" w:lineRule="auto"/>
              <w:rPr>
                <w:rFonts w:hint="eastAsia"/>
                <w:b w:val="0"/>
                <w:bCs/>
                <w:color w:val="000000" w:themeColor="text1"/>
                <w:sz w:val="20"/>
                <w:szCs w:val="20"/>
              </w:rPr>
            </w:pPr>
            <w:r>
              <w:rPr>
                <w:rFonts w:hint="eastAsia"/>
                <w:b w:val="0"/>
                <w:bCs/>
                <w:color w:val="000000" w:themeColor="text1"/>
                <w:sz w:val="20"/>
                <w:szCs w:val="20"/>
              </w:rPr>
              <w:t>公司识别并确定了利益相关方：顾客、外部供应商、员工及其他为本公司工作的人员或组织等。</w:t>
            </w:r>
          </w:p>
          <w:p>
            <w:pPr>
              <w:spacing w:line="360" w:lineRule="auto"/>
              <w:rPr>
                <w:b/>
                <w:color w:val="000000" w:themeColor="text1"/>
                <w:sz w:val="20"/>
                <w:szCs w:val="20"/>
              </w:rPr>
            </w:pPr>
            <w:r>
              <w:rPr>
                <w:rFonts w:hint="eastAsia"/>
                <w:b w:val="0"/>
                <w:bCs/>
                <w:color w:val="000000" w:themeColor="text1"/>
                <w:sz w:val="20"/>
                <w:szCs w:val="20"/>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宋体"/>
                <w:sz w:val="21"/>
                <w:szCs w:val="21"/>
                <w:lang w:eastAsia="zh-CN"/>
              </w:rPr>
              <w:t>质量精益求精，服务及时周到；实现污染预防，注重节能降耗；及时消除隐患，保障健康安全；遵守法律法规，坚持持续改进。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360" w:lineRule="auto"/>
              <w:ind w:left="0" w:leftChars="0" w:firstLine="0" w:firstLineChars="0"/>
              <w:rPr>
                <w:b/>
                <w:color w:val="000000" w:themeColor="text1"/>
              </w:rPr>
            </w:pPr>
            <w:r>
              <w:rPr>
                <w:rFonts w:hint="eastAsia"/>
                <w:b w:val="0"/>
                <w:bCs/>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szCs w:val="21"/>
                <w:lang w:val="en-US" w:eastAsia="zh-CN"/>
              </w:rPr>
              <w:t>计算机应用软件开发及销售、计算机信息系统集成及服务</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软件编码</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销售服务过程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48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 项目交付合格率             100％</w:t>
            </w:r>
          </w:p>
          <w:p>
            <w:pPr>
              <w:spacing w:line="48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 顾客满意率                 ≥95%</w:t>
            </w:r>
          </w:p>
          <w:p>
            <w:pPr>
              <w:spacing w:line="48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 计算机软件研发交付合格率   100％</w:t>
            </w:r>
          </w:p>
          <w:p>
            <w:pPr>
              <w:spacing w:line="360" w:lineRule="auto"/>
              <w:rPr>
                <w:rFonts w:ascii="宋体" w:hAnsi="宋体"/>
                <w:b/>
                <w:color w:val="000000" w:themeColor="text1"/>
              </w:rPr>
            </w:pPr>
            <w:r>
              <w:rPr>
                <w:rFonts w:hint="eastAsia" w:ascii="宋体" w:hAnsi="宋体" w:eastAsia="宋体" w:cs="宋体"/>
                <w:szCs w:val="22"/>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公司按照申请认证的标准要求，建立并形成了文件化的质量管理体系文件，体系文件对管理体系各过程进行了识别确定、明确了各要素间的相互关系及其管控要求。公司体系文件于2020年</w:t>
            </w:r>
            <w:r>
              <w:rPr>
                <w:rFonts w:hint="eastAsia" w:ascii="宋体" w:hAnsi="宋体"/>
                <w:b w:val="0"/>
                <w:bCs/>
                <w:color w:val="000000" w:themeColor="text1"/>
                <w:sz w:val="20"/>
                <w:szCs w:val="20"/>
                <w:lang w:val="en-US" w:eastAsia="zh-CN"/>
              </w:rPr>
              <w:t>9</w:t>
            </w:r>
            <w:r>
              <w:rPr>
                <w:rFonts w:hint="eastAsia" w:ascii="宋体" w:hAnsi="宋体"/>
                <w:b w:val="0"/>
                <w:bCs/>
                <w:color w:val="000000" w:themeColor="text1"/>
                <w:sz w:val="20"/>
                <w:szCs w:val="20"/>
              </w:rPr>
              <w:t>月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lang w:val="en-US" w:eastAsia="zh-CN"/>
              </w:rPr>
              <w:t xml:space="preserve"> </w:t>
            </w:r>
            <w:r>
              <w:rPr>
                <w:rFonts w:hint="eastAsia" w:ascii="宋体" w:hAnsi="宋体"/>
                <w:b/>
                <w:color w:val="000000" w:themeColor="text1"/>
                <w:sz w:val="20"/>
                <w:szCs w:val="20"/>
              </w:rPr>
              <w:t>:</w:t>
            </w:r>
          </w:p>
          <w:p>
            <w:pPr>
              <w:spacing w:line="360" w:lineRule="auto"/>
              <w:ind w:firstLine="400" w:firstLineChars="200"/>
              <w:rPr>
                <w:rFonts w:hint="eastAsia" w:ascii="宋体" w:hAnsi="宋体"/>
                <w:b w:val="0"/>
                <w:bCs/>
                <w:color w:val="000000" w:themeColor="text1"/>
                <w:sz w:val="20"/>
                <w:szCs w:val="20"/>
              </w:rPr>
            </w:pPr>
            <w:r>
              <w:rPr>
                <w:rFonts w:hint="eastAsia" w:ascii="宋体" w:hAnsi="宋体"/>
                <w:b w:val="0"/>
                <w:bCs/>
                <w:color w:val="000000" w:themeColor="text1"/>
                <w:sz w:val="20"/>
                <w:szCs w:val="20"/>
              </w:rPr>
              <w:t>组织按管理体系需求配置了充足的人员、设施、监视和测量设备等资源，并建立维持了产品的生产及相关服务运行环境，可以维持管理体系的正常运行。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hint="eastAsia" w:ascii="宋体" w:hAnsi="宋体"/>
                <w:color w:val="0000FF"/>
                <w:szCs w:val="21"/>
              </w:rPr>
            </w:pPr>
            <w:r>
              <w:rPr>
                <w:rFonts w:hint="eastAsia"/>
                <w:szCs w:val="21"/>
                <w:lang w:val="en-US" w:eastAsia="zh-CN"/>
              </w:rPr>
              <w:t>配置了办公电脑12台；打印/复印机2台；办公桌椅、文件柜等。公司设备配置，主要为研发所用的笔记本电脑、系统集成所用的OTDR、万用表等。</w:t>
            </w:r>
          </w:p>
          <w:p>
            <w:pPr>
              <w:spacing w:line="360" w:lineRule="auto"/>
              <w:rPr>
                <w:rFonts w:ascii="宋体" w:hAnsi="宋体"/>
                <w:b/>
                <w:color w:val="000000" w:themeColor="text1"/>
                <w:sz w:val="20"/>
                <w:szCs w:val="20"/>
              </w:rPr>
            </w:pPr>
            <w:r>
              <w:rPr>
                <w:rFonts w:hint="eastAsia" w:ascii="宋体" w:hAnsi="宋体"/>
                <w:szCs w:val="21"/>
              </w:rPr>
              <w:t>特种设备：</w:t>
            </w:r>
            <w:r>
              <w:rPr>
                <w:rFonts w:hint="eastAsia" w:ascii="宋体" w:hAnsi="宋体"/>
                <w:szCs w:val="21"/>
                <w:lang w:val="en-US" w:eastAsia="zh-CN"/>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hint="eastAsia" w:ascii="Times New Roman" w:hAnsi="Times New Roman" w:eastAsia="宋体" w:cs="Times New Roman"/>
                <w:szCs w:val="21"/>
                <w:lang w:val="en-US" w:eastAsia="zh-CN"/>
              </w:rPr>
            </w:pPr>
            <w:r>
              <w:rPr>
                <w:rFonts w:hint="eastAsia" w:ascii="宋体" w:hAnsi="宋体" w:eastAsia="宋体" w:cs="Times New Roman"/>
                <w:color w:val="auto"/>
                <w:spacing w:val="-10"/>
                <w:sz w:val="20"/>
                <w:szCs w:val="20"/>
                <w:lang w:val="en-US" w:eastAsia="zh-CN"/>
              </w:rPr>
              <w:t>软</w:t>
            </w:r>
            <w:r>
              <w:rPr>
                <w:rFonts w:hint="eastAsia" w:ascii="Times New Roman" w:hAnsi="Times New Roman" w:eastAsia="宋体" w:cs="Times New Roman"/>
                <w:szCs w:val="21"/>
                <w:lang w:val="en-US" w:eastAsia="zh-CN"/>
              </w:rPr>
              <w:t>件系统软件研发过程和办公过程对环境要求一般，无特殊要求，办公室环境卫生较好。</w:t>
            </w:r>
          </w:p>
          <w:p>
            <w:pPr>
              <w:spacing w:line="360" w:lineRule="auto"/>
              <w:rPr>
                <w:rFonts w:ascii="宋体" w:hAnsi="宋体"/>
                <w:b/>
                <w:color w:val="000000" w:themeColor="text1"/>
                <w:sz w:val="20"/>
                <w:szCs w:val="20"/>
              </w:rPr>
            </w:pPr>
            <w:r>
              <w:rPr>
                <w:rFonts w:hint="eastAsia" w:ascii="Times New Roman" w:hAnsi="Times New Roman" w:eastAsia="宋体" w:cs="Times New Roman"/>
                <w:szCs w:val="21"/>
                <w:lang w:val="en-US" w:eastAsia="zh-CN"/>
              </w:rPr>
              <w:t>办公环境光照、温度适宜，通风良好，电路布线合理、电气插座完整，未见破损，办公场所物品摆放整齐、有序，未见随意乱放私人物品的情况，未见用电不当等安全隐患及不良影响现象。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Cs w:val="21"/>
                <w:lang w:eastAsia="zh-CN"/>
              </w:rPr>
              <w:t>公司</w:t>
            </w:r>
            <w:r>
              <w:rPr>
                <w:rFonts w:hint="eastAsia"/>
                <w:szCs w:val="21"/>
                <w:lang w:val="en-US" w:eastAsia="zh-CN"/>
              </w:rPr>
              <w:t>主要OTDR、万用表测量设备</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网络信息，从顾客或外部供方收集的知识）。</w:t>
            </w:r>
          </w:p>
          <w:p>
            <w:pPr>
              <w:spacing w:line="360" w:lineRule="auto"/>
              <w:rPr>
                <w:rFonts w:ascii="宋体" w:hAnsi="宋体"/>
                <w:b/>
                <w:color w:val="000000" w:themeColor="text1"/>
                <w:sz w:val="20"/>
                <w:szCs w:val="20"/>
              </w:rPr>
            </w:pPr>
            <w:r>
              <w:rPr>
                <w:rFonts w:hint="eastAsia" w:ascii="Times New Roman" w:hAnsi="Times New Roman" w:eastAsia="宋体" w:cs="Times New Roman"/>
                <w:szCs w:val="21"/>
                <w:lang w:val="en-US" w:eastAsia="zh-CN"/>
              </w:rPr>
              <w:t>--公司明确组织知识作为公司的重要资源，按内部文件或外来文件予以受控管理，包括必要的分级保密措施。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Times New Roman"/>
                <w:szCs w:val="21"/>
                <w:lang w:eastAsia="zh-CN"/>
              </w:rPr>
              <w:t>最好的产品，最优的价格，最先进的技术，最优良的服务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360" w:lineRule="auto"/>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b w:val="0"/>
                <w:bCs/>
                <w:color w:val="000000" w:themeColor="text1"/>
                <w:sz w:val="20"/>
                <w:szCs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无关键工序和特殊过程，能力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企业参考国家行业主要有：</w:t>
            </w:r>
            <w:r>
              <w:rPr>
                <w:rFonts w:hint="eastAsia" w:ascii="宋体" w:hAnsi="宋体"/>
                <w:szCs w:val="21"/>
                <w:lang w:eastAsia="zh-CN"/>
              </w:rPr>
              <w:t>计算机软件单元测试、计算机软件可靠性和可维护性管理、信息技术 软件生存周期过程 、计算机软件文档编制规范、计算机软件需求规格说明规范、计算机软件测试文档编制规范、综合布线系统工程设计规范GB 50311-200综合布线系统工程验收规范GB/T 50312-2016、综合布线系统工程验收规范GB 50312-2007、电子信息系统机房设计规范GB 50174-2008、数据中心基础设施施工及验收规范GB 50462-2015</w:t>
            </w:r>
            <w:r>
              <w:rPr>
                <w:rFonts w:hint="eastAsia" w:ascii="宋体" w:hAnsi="宋体" w:eastAsia="宋体" w:cs="宋体"/>
                <w:b w:val="0"/>
                <w:bCs w:val="0"/>
                <w:sz w:val="21"/>
                <w:szCs w:val="21"/>
              </w:rPr>
              <w:t>和客户要求。</w:t>
            </w:r>
          </w:p>
          <w:p>
            <w:pPr>
              <w:spacing w:line="300" w:lineRule="exact"/>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提供了检验记录，检验合格，满足顾客要求。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b w:val="0"/>
                <w:bCs/>
                <w:color w:val="000000" w:themeColor="text1"/>
                <w:sz w:val="20"/>
                <w:szCs w:val="20"/>
              </w:rPr>
              <w:t>提供的《不合格品控制程序》中规定了对不合格品的标识、记录、隔离、记录和处置的控制要求。采购检验中发现的不合格，要求做好相应的标识，并及时通知采购人员作退/换货处理。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b/>
                <w:color w:val="000000" w:themeColor="text1"/>
                <w:sz w:val="20"/>
                <w:szCs w:val="20"/>
              </w:rPr>
            </w:pPr>
            <w:r>
              <w:rPr>
                <w:rFonts w:hint="eastAsia"/>
                <w:b/>
                <w:color w:val="000000" w:themeColor="text1"/>
                <w:sz w:val="20"/>
                <w:szCs w:val="20"/>
                <w:lang w:val="en-US" w:eastAsia="zh-CN"/>
              </w:rPr>
              <w:t>无</w:t>
            </w:r>
            <w:r>
              <w:rPr>
                <w:rFonts w:hint="eastAsia"/>
                <w:b/>
                <w:color w:val="000000" w:themeColor="text1"/>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-12月目标的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105" w:leftChars="-50" w:firstLine="0" w:firstLineChars="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8日统计</w:t>
            </w:r>
            <w:r>
              <w:rPr>
                <w:rFonts w:hint="eastAsia" w:ascii="宋体" w:hAnsi="宋体" w:cs="宋体"/>
                <w:color w:val="000000" w:themeColor="text1"/>
                <w:szCs w:val="21"/>
              </w:rPr>
              <w:t>，满意度评价达</w:t>
            </w:r>
            <w:r>
              <w:rPr>
                <w:rFonts w:hint="eastAsia" w:ascii="宋体" w:hAnsi="宋体" w:cs="宋体"/>
                <w:color w:val="000000" w:themeColor="text1"/>
                <w:szCs w:val="21"/>
                <w:lang w:val="en-US" w:eastAsia="zh-CN"/>
              </w:rPr>
              <w:t>98</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pPr>
              <w:spacing w:line="360" w:lineRule="auto"/>
              <w:jc w:val="left"/>
              <w:rPr>
                <w:b/>
                <w:color w:val="000000" w:themeColor="text1"/>
                <w:sz w:val="20"/>
                <w:szCs w:val="20"/>
              </w:rPr>
            </w:pPr>
            <w:r>
              <w:rPr>
                <w:b/>
                <w:color w:val="000000" w:themeColor="text1"/>
                <w:sz w:val="20"/>
                <w:szCs w:val="20"/>
              </w:rPr>
              <w:t xml:space="preserve"> </w:t>
            </w:r>
            <w:r>
              <w:rPr>
                <w:rFonts w:hint="eastAsia" w:ascii="宋体" w:hAnsi="宋体" w:cs="宋体"/>
                <w:szCs w:val="22"/>
              </w:rPr>
              <w:t xml:space="preserve"> 每年一次，本次2020.</w:t>
            </w:r>
            <w:r>
              <w:rPr>
                <w:rFonts w:hint="eastAsia" w:ascii="宋体" w:hAnsi="宋体" w:cs="宋体"/>
                <w:szCs w:val="22"/>
                <w:lang w:val="en-US" w:eastAsia="zh-CN"/>
              </w:rPr>
              <w:t>12</w:t>
            </w:r>
            <w:r>
              <w:rPr>
                <w:rFonts w:hint="eastAsia" w:ascii="宋体" w:hAnsi="宋体" w:cs="宋体"/>
                <w:szCs w:val="22"/>
              </w:rPr>
              <w:t>.</w:t>
            </w:r>
            <w:r>
              <w:rPr>
                <w:rFonts w:hint="eastAsia" w:ascii="宋体" w:hAnsi="宋体" w:cs="宋体"/>
                <w:szCs w:val="22"/>
                <w:lang w:val="en-US" w:eastAsia="zh-CN"/>
              </w:rPr>
              <w:t>17</w:t>
            </w:r>
            <w:r>
              <w:rPr>
                <w:rFonts w:hint="eastAsia" w:ascii="宋体" w:hAnsi="宋体" w:cs="宋体"/>
                <w:szCs w:val="22"/>
              </w:rPr>
              <w:t>-</w:t>
            </w:r>
            <w:r>
              <w:rPr>
                <w:rFonts w:hint="eastAsia" w:ascii="宋体" w:hAnsi="宋体" w:cs="宋体"/>
                <w:szCs w:val="22"/>
                <w:lang w:val="en-US" w:eastAsia="zh-CN"/>
              </w:rPr>
              <w:t>12</w:t>
            </w:r>
            <w:r>
              <w:rPr>
                <w:rFonts w:hint="eastAsia" w:ascii="宋体" w:hAnsi="宋体" w:cs="宋体"/>
                <w:szCs w:val="22"/>
              </w:rPr>
              <w:t>.</w:t>
            </w:r>
            <w:r>
              <w:rPr>
                <w:rFonts w:hint="eastAsia" w:ascii="宋体" w:hAnsi="宋体" w:cs="宋体"/>
                <w:szCs w:val="22"/>
                <w:lang w:val="en-US" w:eastAsia="zh-CN"/>
              </w:rPr>
              <w:t>18</w:t>
            </w:r>
            <w:r>
              <w:rPr>
                <w:rFonts w:hint="eastAsia" w:ascii="宋体" w:hAnsi="宋体" w:cs="宋体"/>
                <w:szCs w:val="22"/>
              </w:rPr>
              <w:t>日内审。</w:t>
            </w:r>
            <w:bookmarkStart w:id="22" w:name="_GoBack"/>
            <w:bookmarkEnd w:id="22"/>
          </w:p>
          <w:p>
            <w:pPr>
              <w:spacing w:line="360" w:lineRule="auto"/>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pPr>
              <w:spacing w:line="360" w:lineRule="auto"/>
              <w:ind w:firstLine="210" w:firstLineChars="100"/>
              <w:rPr>
                <w:rFonts w:asciiTheme="minorEastAsia" w:hAnsiTheme="minorEastAsia" w:eastAsiaTheme="minorEastAsia"/>
                <w:szCs w:val="22"/>
              </w:rPr>
            </w:pPr>
            <w:r>
              <w:rPr>
                <w:rFonts w:hint="eastAsia" w:asciiTheme="minorEastAsia" w:hAnsiTheme="minorEastAsia" w:eastAsiaTheme="minorEastAsia"/>
                <w:szCs w:val="22"/>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360" w:lineRule="auto"/>
              <w:rPr>
                <w:b/>
                <w:color w:val="000000" w:themeColor="text1"/>
                <w:spacing w:val="-8"/>
                <w:sz w:val="20"/>
                <w:szCs w:val="20"/>
              </w:rPr>
            </w:pPr>
            <w:r>
              <w:rPr>
                <w:rFonts w:hint="eastAsia" w:asciiTheme="minorEastAsia" w:hAnsiTheme="minorEastAsia" w:eastAsiaTheme="minorEastAsia"/>
                <w:szCs w:val="22"/>
              </w:rPr>
              <w:t>本公司质量管理体系符合公司管理手册、程序性文件、</w:t>
            </w:r>
            <w:r>
              <w:rPr>
                <w:rFonts w:hint="eastAsia" w:asciiTheme="minorEastAsia" w:hAnsiTheme="minorEastAsia" w:eastAsiaTheme="minorEastAsia"/>
                <w:szCs w:val="22"/>
                <w:lang w:val="en-US" w:eastAsia="zh-CN"/>
              </w:rPr>
              <w:t>GB/T19001-2015</w:t>
            </w:r>
            <w:r>
              <w:rPr>
                <w:rFonts w:hint="eastAsia" w:asciiTheme="minorEastAsia" w:hAnsiTheme="minorEastAsia" w:eastAsiaTheme="minorEastAsia"/>
                <w:szCs w:val="22"/>
              </w:rPr>
              <w:t>的要求，本公司质量管理体系得到了有效实施，运行实施保持了适宜性。</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每年一次，2020.</w:t>
            </w:r>
            <w:r>
              <w:rPr>
                <w:rFonts w:hint="eastAsia" w:ascii="宋体" w:hAnsi="宋体" w:cs="宋体"/>
                <w:szCs w:val="22"/>
                <w:lang w:val="en-US" w:eastAsia="zh-CN"/>
              </w:rPr>
              <w:t>12</w:t>
            </w:r>
            <w:r>
              <w:rPr>
                <w:rFonts w:hint="eastAsia" w:ascii="宋体" w:hAnsi="宋体" w:cs="宋体"/>
                <w:szCs w:val="22"/>
              </w:rPr>
              <w:t>.</w:t>
            </w:r>
            <w:r>
              <w:rPr>
                <w:rFonts w:hint="eastAsia" w:ascii="宋体" w:hAnsi="宋体" w:cs="宋体"/>
                <w:szCs w:val="22"/>
                <w:lang w:val="en-US" w:eastAsia="zh-CN"/>
              </w:rPr>
              <w:t>31</w:t>
            </w:r>
            <w:r>
              <w:rPr>
                <w:rFonts w:hint="eastAsia" w:ascii="宋体" w:hAnsi="宋体" w:cs="宋体"/>
                <w:szCs w:val="22"/>
              </w:rPr>
              <w:t>日管理评审。</w:t>
            </w:r>
          </w:p>
          <w:p>
            <w:pPr>
              <w:spacing w:line="360" w:lineRule="auto"/>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输入基本充分。</w:t>
            </w:r>
          </w:p>
          <w:p>
            <w:pPr>
              <w:spacing w:line="360" w:lineRule="auto"/>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pPr>
              <w:spacing w:line="360" w:lineRule="auto"/>
              <w:rPr>
                <w:b/>
                <w:color w:val="000000" w:themeColor="text1"/>
                <w:sz w:val="20"/>
                <w:szCs w:val="20"/>
              </w:rPr>
            </w:pPr>
            <w:r>
              <w:rPr>
                <w:rFonts w:hint="eastAsia" w:asciiTheme="minorEastAsia" w:hAnsiTheme="minorEastAsia" w:eastAsiaTheme="minorEastAsia"/>
                <w:szCs w:val="22"/>
              </w:rPr>
              <w:t>管理体系文件运行是有效的，方针和目标的贯彻是有效的。没有发生质量投诉，运行符合法律法规的要求。领导的重视为体系的运行创造了有利条件。为保证</w:t>
            </w:r>
            <w:r>
              <w:rPr>
                <w:rFonts w:hint="eastAsia" w:asciiTheme="minorEastAsia" w:hAnsiTheme="minorEastAsia" w:eastAsiaTheme="minorEastAsia"/>
                <w:szCs w:val="22"/>
                <w:lang w:val="en-US" w:eastAsia="zh-CN"/>
              </w:rPr>
              <w:t>质量</w:t>
            </w:r>
            <w:r>
              <w:rPr>
                <w:rFonts w:hint="eastAsia" w:asciiTheme="minorEastAsia" w:hAnsiTheme="minorEastAsia" w:eastAsiaTheme="minorEastAsia"/>
                <w:szCs w:val="22"/>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b/>
                <w:color w:val="000000" w:themeColor="text1"/>
                <w:spacing w:val="-20"/>
                <w:sz w:val="20"/>
                <w:szCs w:val="20"/>
              </w:rPr>
              <w:t xml:space="preserve">  </w:t>
            </w:r>
            <w:r>
              <w:rPr>
                <w:rFonts w:hint="eastAsia" w:ascii="Times New Roman" w:hAnsi="Times New Roman" w:eastAsia="宋体" w:cs="Times New Roman"/>
                <w:bCs/>
                <w:color w:val="000000" w:themeColor="text1"/>
                <w:szCs w:val="21"/>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360" w:lineRule="auto"/>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360" w:lineRule="auto"/>
              <w:ind w:left="-105" w:leftChars="-50" w:firstLine="402" w:firstLineChars="20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组织体系运行满足标准要求，既定目标能达成，向顾客提供稳定、合格产品，满足适用的质量法规要求，实施措施基本有效。体系运行基本适宜、充分、有效，基本建立自我完善机制。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 xml:space="preserve"> </w:t>
            </w:r>
            <w:r>
              <w:rPr>
                <w:rFonts w:hint="eastAsia"/>
                <w:szCs w:val="21"/>
                <w:lang w:val="en-US" w:eastAsia="zh-CN"/>
              </w:rPr>
              <w:t>计算机应用软件开发及销售、计算机信息系统集成及服务</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1468120</wp:posOffset>
            </wp:positionH>
            <wp:positionV relativeFrom="paragraph">
              <wp:posOffset>274320</wp:posOffset>
            </wp:positionV>
            <wp:extent cx="643890" cy="53530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643890" cy="53530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5408" behindDoc="0" locked="0" layoutInCell="1" allowOverlap="1">
            <wp:simplePos x="0" y="0"/>
            <wp:positionH relativeFrom="column">
              <wp:posOffset>1512570</wp:posOffset>
            </wp:positionH>
            <wp:positionV relativeFrom="paragraph">
              <wp:posOffset>62230</wp:posOffset>
            </wp:positionV>
            <wp:extent cx="643890" cy="535305"/>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6"/>
                    <a:stretch>
                      <a:fillRect/>
                    </a:stretch>
                  </pic:blipFill>
                  <pic:spPr>
                    <a:xfrm>
                      <a:off x="0" y="0"/>
                      <a:ext cx="643890" cy="53530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73600" behindDoc="0" locked="0" layoutInCell="1" allowOverlap="1">
            <wp:simplePos x="0" y="0"/>
            <wp:positionH relativeFrom="column">
              <wp:posOffset>648970</wp:posOffset>
            </wp:positionH>
            <wp:positionV relativeFrom="paragraph">
              <wp:posOffset>27940</wp:posOffset>
            </wp:positionV>
            <wp:extent cx="643890" cy="535305"/>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6"/>
                    <a:stretch>
                      <a:fillRect/>
                    </a:stretch>
                  </pic:blipFill>
                  <pic:spPr>
                    <a:xfrm>
                      <a:off x="0" y="0"/>
                      <a:ext cx="643890" cy="53530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18</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E3F"/>
    <w:multiLevelType w:val="singleLevel"/>
    <w:tmpl w:val="8E98FE3F"/>
    <w:lvl w:ilvl="0" w:tentative="0">
      <w:start w:val="2"/>
      <w:numFmt w:val="decimal"/>
      <w:lvlText w:val="%1."/>
      <w:lvlJc w:val="left"/>
      <w:pPr>
        <w:tabs>
          <w:tab w:val="left" w:pos="312"/>
        </w:tabs>
      </w:pPr>
    </w:lvl>
  </w:abstractNum>
  <w:abstractNum w:abstractNumId="1">
    <w:nsid w:val="48421066"/>
    <w:multiLevelType w:val="singleLevel"/>
    <w:tmpl w:val="48421066"/>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031DD"/>
    <w:rsid w:val="0E255479"/>
    <w:rsid w:val="19103370"/>
    <w:rsid w:val="30061735"/>
    <w:rsid w:val="32C65929"/>
    <w:rsid w:val="497B6F80"/>
    <w:rsid w:val="4B5E4076"/>
    <w:rsid w:val="4DC513CB"/>
    <w:rsid w:val="4E0657F6"/>
    <w:rsid w:val="52B04E00"/>
    <w:rsid w:val="555255F0"/>
    <w:rsid w:val="565C6C58"/>
    <w:rsid w:val="76531754"/>
    <w:rsid w:val="77E73C6F"/>
    <w:rsid w:val="7DEF0F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2021-03-25T09:30:04Z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