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</w:pPr>
      <w:r>
        <w:drawing>
          <wp:inline distT="0" distB="0" distL="114300" distR="114300">
            <wp:extent cx="6346825" cy="9749155"/>
            <wp:effectExtent l="0" t="0" r="317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6825" cy="974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审核计划</w:t>
      </w:r>
      <w:bookmarkStart w:id="17" w:name="_GoBack"/>
      <w:bookmarkEnd w:id="17"/>
    </w:p>
    <w:tbl>
      <w:tblPr>
        <w:tblStyle w:val="5"/>
        <w:tblpPr w:leftFromText="180" w:rightFromText="180" w:vertAnchor="page" w:horzAnchor="page" w:tblpX="1056" w:tblpY="1914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46"/>
        <w:gridCol w:w="396"/>
        <w:gridCol w:w="75"/>
        <w:gridCol w:w="101"/>
        <w:gridCol w:w="589"/>
        <w:gridCol w:w="261"/>
        <w:gridCol w:w="56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十堰诺晨工贸有限公司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十堰市车站路10号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周益华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13997800168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442100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1140405587@qq.com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防锈油、一般机械零部件的加工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12.05.04;17.10.02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2021年03月16日 上午至2021年03月17日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7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1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7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11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12.05.04</w:t>
            </w:r>
          </w:p>
        </w:tc>
        <w:tc>
          <w:tcPr>
            <w:tcW w:w="147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13581379911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1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7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9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91515" cy="222885"/>
                  <wp:effectExtent l="0" t="0" r="6985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pacing w:line="240" w:lineRule="atLeast"/>
        <w:jc w:val="both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00"/>
        <w:gridCol w:w="873"/>
        <w:gridCol w:w="4187"/>
        <w:gridCol w:w="124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2021.3.16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4187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8:30-12：00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4187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9.1.1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13:00-16：00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187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2021.3.16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16:00-17：00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8:00-10:00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4187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部门职责和权限；目标实现情况；与产品和服务有关要求的确定；外部提供过程、产品及产品的控制；顾客财产；交付后活动；顾客满意； 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10:00-12：00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13:00-16：30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4187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部门职责和权限；目标实现情况；基础设施配置与管理；过程运行环境管理；监视和测量设备；产品实现的策划 设计开发； 生产和服务提供、标识和可追溯性管理；更改控制；产品和服务的放行；不合格输出的控制、纠正措施</w:t>
            </w: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7.1.3-7.1.5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8.6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16:30-17：00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87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87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12：00-13：00午饭休息时间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C8369E"/>
    <w:rsid w:val="1469426A"/>
    <w:rsid w:val="15376ED7"/>
    <w:rsid w:val="7B5F7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2021-03-21T06:38:00Z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DA3E3D4D5ED14EC7BD3313985353D228</vt:lpwstr>
  </property>
</Properties>
</file>