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0180-2021-Q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陕西合众联航科技有限公司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陕西合众联航科技有限公司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西安市高新区科技二路65号清华科技园D座二层GW-215</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西安市高新区科技二路65号清华科技园D座二层GW-215</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张文浩</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138 9191 0656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张文浩</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许超西</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sxhezhonglianhang@163.com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计算机软件研发</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33.02.01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ascii="宋体"/>
                <w:b/>
                <w:color w:val="000000"/>
                <w:sz w:val="20"/>
                <w:szCs w:val="20"/>
              </w:rPr>
              <w:t>西安市高新区科技二路65号清华科技园D座二层GW-215</w:t>
            </w:r>
          </w:p>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办公室、研发部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场所：西安市高新区科技二路65号清华科技园D座二层GW-215</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产品：计算机软件研发</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办公室、研发部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客户的场所：西安市高新区科技二路65号清华科技园D座二层GW-215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受审核方位于：西安市高新区科技二路65号清华科技园D座二层GW-215</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szCs w:val="21"/>
                <w:lang w:eastAsia="zh-CN"/>
              </w:rPr>
              <w:t>计算机信息系统安全保护等级划分准则、计算机软件单元测试、计算机软件可靠性和可维护性管理、信息技术 软件生存周期过程 、计算机软件文档编制规范、计算机软件需求规格说明规范、计算机软件测试文档编制规范</w:t>
            </w:r>
            <w:r>
              <w:rPr>
                <w:rFonts w:hint="eastAsia" w:ascii="宋体" w:hAnsi="宋体"/>
                <w:szCs w:val="21"/>
                <w:lang w:val="en-US" w:eastAsia="zh-CN"/>
              </w:rPr>
              <w:t>等，</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任务下达-软件设计开发（制定开发计划-需求分析-软件设计-编程实现-软件测试-缺陷跟踪与改进）-软件交付－操作培训－版本更新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z w:val="20"/>
                <w:szCs w:val="20"/>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auto"/>
                <w:spacing w:val="-10"/>
                <w:sz w:val="20"/>
                <w:szCs w:val="20"/>
              </w:rPr>
              <w:t>主要设备：</w:t>
            </w:r>
            <w:r>
              <w:rPr>
                <w:rFonts w:hint="eastAsia" w:ascii="宋体" w:hAnsi="宋体"/>
                <w:color w:val="auto"/>
                <w:spacing w:val="-10"/>
                <w:sz w:val="20"/>
                <w:szCs w:val="20"/>
                <w:lang w:val="en-US" w:eastAsia="zh-CN"/>
              </w:rPr>
              <w:t>台式电脑、笔记本电脑、</w:t>
            </w:r>
            <w:r>
              <w:rPr>
                <w:rFonts w:hint="eastAsia" w:ascii="宋体" w:hAnsi="宋体"/>
                <w:snapToGrid w:val="0"/>
                <w:kern w:val="0"/>
                <w:sz w:val="20"/>
                <w:szCs w:val="22"/>
              </w:rPr>
              <w:t>NET语言</w:t>
            </w:r>
            <w:r>
              <w:rPr>
                <w:rFonts w:hint="eastAsia" w:ascii="宋体" w:hAnsi="宋体"/>
                <w:color w:val="auto"/>
                <w:spacing w:val="-10"/>
                <w:sz w:val="20"/>
                <w:szCs w:val="20"/>
                <w:lang w:val="en-US" w:eastAsia="zh-CN"/>
              </w:rPr>
              <w:t>、</w:t>
            </w:r>
            <w:r>
              <w:rPr>
                <w:rFonts w:hint="eastAsia" w:ascii="宋体" w:hAnsi="宋体"/>
                <w:snapToGrid w:val="0"/>
                <w:kern w:val="0"/>
                <w:sz w:val="20"/>
                <w:szCs w:val="22"/>
              </w:rPr>
              <w:t>B/S架构</w:t>
            </w:r>
            <w:r>
              <w:rPr>
                <w:rFonts w:hint="eastAsia" w:ascii="宋体" w:hAnsi="宋体"/>
                <w:snapToGrid w:val="0"/>
                <w:kern w:val="0"/>
                <w:sz w:val="20"/>
                <w:szCs w:val="22"/>
                <w:lang w:eastAsia="zh-CN"/>
              </w:rPr>
              <w:t>、</w:t>
            </w:r>
            <w:r>
              <w:rPr>
                <w:rFonts w:hint="eastAsia" w:ascii="宋体" w:hAnsi="宋体"/>
                <w:snapToGrid w:val="0"/>
                <w:kern w:val="0"/>
                <w:sz w:val="20"/>
                <w:szCs w:val="22"/>
              </w:rPr>
              <w:t>WEB端</w:t>
            </w:r>
            <w:r>
              <w:rPr>
                <w:rFonts w:hint="eastAsia" w:ascii="宋体" w:hAnsi="宋体"/>
                <w:color w:val="auto"/>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auto"/>
                <w:sz w:val="20"/>
                <w:szCs w:val="20"/>
              </w:rPr>
              <w:t>监视和测量设备（请简述主要监视和测量设备）：</w:t>
            </w:r>
            <w:r>
              <w:rPr>
                <w:rFonts w:hint="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vAlign w:val="top"/>
          </w:tcPr>
          <w:p>
            <w:pPr>
              <w:rPr>
                <w:rFonts w:ascii="宋体"/>
                <w:color w:val="000000"/>
                <w:sz w:val="20"/>
                <w:szCs w:val="20"/>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w:t>
            </w:r>
            <w:r>
              <w:rPr>
                <w:rFonts w:hint="eastAsia" w:ascii="宋体" w:hAnsi="宋体"/>
                <w:b/>
                <w:color w:val="000000"/>
                <w:sz w:val="20"/>
                <w:szCs w:val="20"/>
                <w:lang w:eastAsia="zh-CN"/>
              </w:rPr>
              <w:t>、</w:t>
            </w:r>
            <w:r>
              <w:rPr>
                <w:rFonts w:hint="eastAsia" w:ascii="宋体" w:hAnsi="宋体"/>
                <w:b/>
                <w:color w:val="000000"/>
                <w:sz w:val="20"/>
                <w:szCs w:val="20"/>
                <w:lang w:val="en-US" w:eastAsia="zh-CN"/>
              </w:rPr>
              <w:t>研发</w:t>
            </w:r>
            <w:r>
              <w:rPr>
                <w:rFonts w:hint="eastAsia" w:ascii="宋体" w:hAnsi="宋体"/>
                <w:b/>
                <w:color w:val="000000"/>
                <w:sz w:val="20"/>
                <w:szCs w:val="20"/>
                <w:lang w:eastAsia="zh-CN"/>
              </w:rPr>
              <w:t>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生产和服务的提供</w:t>
            </w:r>
            <w:r>
              <w:rPr>
                <w:rFonts w:hint="eastAsia" w:ascii="宋体" w:hAnsi="宋体"/>
                <w:b/>
                <w:color w:val="000000"/>
                <w:sz w:val="20"/>
                <w:szCs w:val="20"/>
              </w:rPr>
              <w:t>；产品和服务放行、不合格产品和服务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研发</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1"/>
                <w:szCs w:val="21"/>
              </w:rPr>
              <w:t>了解内审的策划</w:t>
            </w:r>
            <w:r>
              <w:rPr>
                <w:rFonts w:ascii="宋体" w:hAnsi="宋体"/>
                <w:b/>
                <w:color w:val="000000"/>
                <w:sz w:val="21"/>
                <w:szCs w:val="21"/>
              </w:rPr>
              <w:t>;</w:t>
            </w:r>
            <w:r>
              <w:rPr>
                <w:rFonts w:ascii="宋体" w:hAnsi="宋体"/>
                <w:b w:val="0"/>
                <w:bCs/>
                <w:color w:val="000000"/>
                <w:sz w:val="21"/>
                <w:szCs w:val="21"/>
              </w:rPr>
              <w:t xml:space="preserve"> </w:t>
            </w:r>
            <w:r>
              <w:rPr>
                <w:rFonts w:hint="eastAsia" w:ascii="宋体" w:hAnsi="宋体"/>
                <w:b w:val="0"/>
                <w:bCs/>
                <w:color w:val="000000"/>
                <w:sz w:val="21"/>
                <w:szCs w:val="21"/>
              </w:rPr>
              <w:t>建立有《内部质量体系审核程序》</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见有《内部审核计划表》</w:t>
            </w:r>
          </w:p>
          <w:p>
            <w:pPr>
              <w:spacing w:line="360" w:lineRule="auto"/>
              <w:rPr>
                <w:rFonts w:hint="eastAsia" w:ascii="宋体" w:hAnsi="宋体" w:eastAsia="宋体" w:cs="Times New Roman"/>
                <w:b w:val="0"/>
                <w:bCs/>
                <w:color w:val="000000"/>
                <w:sz w:val="21"/>
                <w:szCs w:val="21"/>
              </w:rPr>
            </w:pPr>
            <w:r>
              <w:rPr>
                <w:rFonts w:hint="eastAsia" w:ascii="宋体" w:hAnsi="宋体"/>
                <w:b w:val="0"/>
                <w:bCs/>
                <w:color w:val="000000"/>
                <w:sz w:val="21"/>
                <w:szCs w:val="21"/>
              </w:rPr>
              <w:t>内审时间</w:t>
            </w:r>
            <w:r>
              <w:rPr>
                <w:rFonts w:hint="eastAsia" w:ascii="宋体" w:hAnsi="宋体" w:eastAsia="宋体" w:cs="Times New Roman"/>
                <w:b w:val="0"/>
                <w:bCs/>
                <w:color w:val="000000"/>
                <w:sz w:val="21"/>
                <w:szCs w:val="21"/>
              </w:rPr>
              <w:t>：20</w:t>
            </w:r>
            <w:r>
              <w:rPr>
                <w:rFonts w:hint="eastAsia" w:ascii="宋体" w:hAnsi="宋体" w:eastAsia="宋体" w:cs="Times New Roman"/>
                <w:b w:val="0"/>
                <w:bCs/>
                <w:color w:val="000000"/>
                <w:sz w:val="21"/>
                <w:szCs w:val="21"/>
                <w:lang w:val="en-US" w:eastAsia="zh-CN"/>
              </w:rPr>
              <w:t>20</w:t>
            </w:r>
            <w:r>
              <w:rPr>
                <w:rFonts w:hint="eastAsia" w:ascii="宋体" w:hAnsi="宋体" w:eastAsia="宋体" w:cs="Times New Roman"/>
                <w:b w:val="0"/>
                <w:bCs/>
                <w:color w:val="000000"/>
                <w:sz w:val="21"/>
                <w:szCs w:val="21"/>
              </w:rPr>
              <w:t>年</w:t>
            </w:r>
            <w:r>
              <w:rPr>
                <w:rFonts w:hint="eastAsia" w:ascii="宋体" w:hAnsi="宋体" w:eastAsia="宋体" w:cs="Times New Roman"/>
                <w:b w:val="0"/>
                <w:bCs/>
                <w:color w:val="000000"/>
                <w:sz w:val="21"/>
                <w:szCs w:val="21"/>
                <w:lang w:val="en-US" w:eastAsia="zh-CN"/>
              </w:rPr>
              <w:t>12</w:t>
            </w:r>
            <w:r>
              <w:rPr>
                <w:rFonts w:hint="eastAsia" w:ascii="宋体" w:hAnsi="宋体" w:eastAsia="宋体" w:cs="Times New Roman"/>
                <w:b w:val="0"/>
                <w:bCs/>
                <w:color w:val="000000"/>
                <w:sz w:val="21"/>
                <w:szCs w:val="21"/>
              </w:rPr>
              <w:t>月</w:t>
            </w:r>
            <w:r>
              <w:rPr>
                <w:rFonts w:hint="eastAsia" w:ascii="宋体" w:hAnsi="宋体" w:eastAsia="宋体" w:cs="Times New Roman"/>
                <w:b w:val="0"/>
                <w:bCs/>
                <w:color w:val="000000"/>
                <w:sz w:val="21"/>
                <w:szCs w:val="21"/>
                <w:lang w:val="en-US" w:eastAsia="zh-CN"/>
              </w:rPr>
              <w:t>15-16</w:t>
            </w:r>
            <w:r>
              <w:rPr>
                <w:rFonts w:hint="eastAsia" w:ascii="宋体" w:hAnsi="宋体" w:eastAsia="宋体" w:cs="Times New Roman"/>
                <w:b w:val="0"/>
                <w:bCs/>
                <w:color w:val="000000"/>
                <w:sz w:val="21"/>
                <w:szCs w:val="21"/>
              </w:rPr>
              <w:t xml:space="preserve">日       </w:t>
            </w:r>
          </w:p>
          <w:p>
            <w:pPr>
              <w:spacing w:line="360" w:lineRule="auto"/>
              <w:rPr>
                <w:rFonts w:ascii="宋体"/>
                <w:b/>
                <w:color w:val="000000"/>
                <w:sz w:val="20"/>
                <w:szCs w:val="20"/>
              </w:rPr>
            </w:pPr>
            <w:r>
              <w:rPr>
                <w:rFonts w:hint="eastAsia" w:ascii="宋体" w:hAnsi="宋体" w:eastAsia="宋体" w:cs="Times New Roman"/>
                <w:b w:val="0"/>
                <w:bCs/>
                <w:color w:val="000000"/>
                <w:sz w:val="21"/>
                <w:szCs w:val="21"/>
              </w:rPr>
              <w:t>内审组：</w:t>
            </w:r>
            <w:r>
              <w:rPr>
                <w:rFonts w:hint="eastAsia"/>
                <w:szCs w:val="21"/>
              </w:rPr>
              <w:t>组长：</w:t>
            </w:r>
            <w:r>
              <w:rPr>
                <w:rFonts w:hint="eastAsia"/>
                <w:szCs w:val="21"/>
                <w:lang w:eastAsia="zh-CN"/>
              </w:rPr>
              <w:t>许超西</w:t>
            </w:r>
            <w:r>
              <w:rPr>
                <w:rFonts w:hint="eastAsia"/>
                <w:szCs w:val="21"/>
              </w:rPr>
              <w:t xml:space="preserve">    组</w:t>
            </w:r>
            <w:r>
              <w:rPr>
                <w:rFonts w:hint="eastAsia"/>
                <w:szCs w:val="21"/>
                <w:lang w:eastAsia="zh-CN"/>
              </w:rPr>
              <w:t>员：董晗</w:t>
            </w:r>
            <w:r>
              <w:rPr>
                <w:rFonts w:hint="eastAsia" w:ascii="宋体" w:hAnsi="宋体" w:eastAsia="宋体" w:cs="Times New Roman"/>
                <w:b w:val="0"/>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是</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审核范围:管理体系涉及的公司所有部门、</w:t>
            </w:r>
            <w:r>
              <w:rPr>
                <w:rFonts w:hint="eastAsia" w:ascii="宋体" w:hAnsi="宋体"/>
                <w:b w:val="0"/>
                <w:bCs/>
                <w:color w:val="000000"/>
                <w:sz w:val="21"/>
                <w:szCs w:val="21"/>
                <w:lang w:val="en-US" w:eastAsia="zh-CN"/>
              </w:rPr>
              <w:t>研发区域</w:t>
            </w:r>
            <w:r>
              <w:rPr>
                <w:rFonts w:hint="eastAsia" w:ascii="宋体" w:hAnsi="宋体"/>
                <w:b w:val="0"/>
                <w:bCs/>
                <w:color w:val="000000"/>
                <w:sz w:val="21"/>
                <w:szCs w:val="21"/>
              </w:rPr>
              <w:t>及活动场所。</w:t>
            </w:r>
          </w:p>
          <w:p>
            <w:pPr>
              <w:spacing w:line="360" w:lineRule="auto"/>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0"/>
                <w:szCs w:val="20"/>
              </w:rPr>
              <w:t>本次内审对GB/T 19001:2016标准体系文件管理手册、体系文件进行了全面检查，通过审核可以看出管理体系已基本进入了正常状态，但仍存在一些问题，需要完善现场作业及加强各类人员的培训。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360" w:lineRule="auto"/>
              <w:rPr>
                <w:rFonts w:ascii="宋体"/>
                <w:b/>
                <w:color w:val="000000"/>
                <w:sz w:val="20"/>
                <w:szCs w:val="20"/>
              </w:rPr>
            </w:pP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lang w:eastAsia="zh-CN"/>
              </w:rPr>
              <w:t>年</w:t>
            </w:r>
            <w:r>
              <w:rPr>
                <w:rFonts w:hint="eastAsia" w:ascii="宋体" w:hAnsi="宋体"/>
                <w:kern w:val="0"/>
                <w:sz w:val="21"/>
                <w:szCs w:val="21"/>
                <w:lang w:val="en-US" w:eastAsia="zh-CN"/>
              </w:rPr>
              <w:t>12</w:t>
            </w:r>
            <w:r>
              <w:rPr>
                <w:rFonts w:hint="eastAsia" w:ascii="宋体" w:hAnsi="宋体"/>
                <w:kern w:val="0"/>
                <w:sz w:val="21"/>
                <w:szCs w:val="21"/>
                <w:lang w:eastAsia="zh-CN"/>
              </w:rPr>
              <w:t>月</w:t>
            </w:r>
            <w:r>
              <w:rPr>
                <w:rFonts w:hint="eastAsia" w:ascii="宋体" w:hAnsi="宋体"/>
                <w:kern w:val="0"/>
                <w:sz w:val="21"/>
                <w:szCs w:val="21"/>
                <w:lang w:val="en-US" w:eastAsia="zh-CN"/>
              </w:rPr>
              <w:t>31</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eastAsia="宋体"/>
                <w:lang w:val="en-US" w:eastAsia="zh-CN"/>
              </w:rPr>
            </w:pPr>
            <w:r>
              <w:rPr>
                <w:rFonts w:hint="eastAsia"/>
                <w:b/>
                <w:bCs/>
              </w:rPr>
              <w:t>了解管理评审输入是否充分</w:t>
            </w:r>
            <w:r>
              <w:t xml:space="preserve">; </w:t>
            </w:r>
            <w:r>
              <w:rPr>
                <w:rFonts w:hint="eastAsia"/>
                <w:lang w:val="en-US" w:eastAsia="zh-CN"/>
              </w:rPr>
              <w:t>是</w:t>
            </w:r>
          </w:p>
          <w:p>
            <w:pPr>
              <w:pStyle w:val="2"/>
              <w:spacing w:line="360" w:lineRule="auto"/>
              <w:rPr>
                <w:rFonts w:ascii="宋体"/>
                <w:b/>
                <w:color w:val="000000"/>
                <w:sz w:val="20"/>
                <w:szCs w:val="20"/>
              </w:rPr>
            </w:pPr>
            <w:r>
              <w:rPr>
                <w:rFonts w:hint="eastAsia" w:ascii="Times New Roman" w:hAnsi="Times New Roman" w:eastAsia="宋体" w:cs="Times New Roman"/>
                <w:kern w:val="2"/>
                <w:sz w:val="21"/>
                <w:szCs w:val="21"/>
                <w:lang w:val="en-US" w:eastAsia="zh-CN" w:bidi="ar-SA"/>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范围无变化见初定的管理体系认证范围：计算机软件研发</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1668780</wp:posOffset>
            </wp:positionH>
            <wp:positionV relativeFrom="paragraph">
              <wp:posOffset>212090</wp:posOffset>
            </wp:positionV>
            <wp:extent cx="645795" cy="53594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45795" cy="53594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ascii="宋体" w:hAnsi="宋体"/>
          <w:b/>
          <w:color w:val="000000"/>
        </w:rPr>
        <w:drawing>
          <wp:anchor distT="0" distB="0" distL="114300" distR="114300" simplePos="0" relativeHeight="251659264" behindDoc="0" locked="0" layoutInCell="1" allowOverlap="1">
            <wp:simplePos x="0" y="0"/>
            <wp:positionH relativeFrom="column">
              <wp:posOffset>1687830</wp:posOffset>
            </wp:positionH>
            <wp:positionV relativeFrom="paragraph">
              <wp:posOffset>207010</wp:posOffset>
            </wp:positionV>
            <wp:extent cx="645795" cy="535940"/>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645795" cy="535940"/>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2021.3.12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bookmarkStart w:id="24" w:name="_GoBack"/>
            <w:bookmarkEnd w:id="24"/>
          </w:p>
          <w:p>
            <w:pPr>
              <w:spacing w:line="280" w:lineRule="exact"/>
              <w:rPr>
                <w:b/>
                <w:color w:val="000000"/>
                <w:sz w:val="22"/>
                <w:szCs w:val="22"/>
              </w:rPr>
            </w:pPr>
            <w:r>
              <w:rPr>
                <w:rFonts w:hint="eastAsia"/>
                <w:b/>
                <w:color w:val="000000"/>
                <w:sz w:val="22"/>
                <w:szCs w:val="22"/>
              </w:rPr>
              <w:t>审核员：</w:t>
            </w:r>
            <w:r>
              <w:rPr>
                <w:rFonts w:hint="eastAsia" w:eastAsia="宋体"/>
                <w:b/>
                <w:color w:val="000000"/>
                <w:sz w:val="22"/>
                <w:szCs w:val="22"/>
                <w:lang w:eastAsia="zh-CN"/>
              </w:rPr>
              <w:drawing>
                <wp:anchor distT="0" distB="0" distL="114300" distR="114300" simplePos="0" relativeHeight="251662336" behindDoc="0" locked="0" layoutInCell="1" allowOverlap="1">
                  <wp:simplePos x="0" y="0"/>
                  <wp:positionH relativeFrom="column">
                    <wp:posOffset>471805</wp:posOffset>
                  </wp:positionH>
                  <wp:positionV relativeFrom="paragraph">
                    <wp:posOffset>-124460</wp:posOffset>
                  </wp:positionV>
                  <wp:extent cx="619760" cy="514350"/>
                  <wp:effectExtent l="0" t="0" r="0" b="0"/>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6"/>
                          <a:stretch>
                            <a:fillRect/>
                          </a:stretch>
                        </pic:blipFill>
                        <pic:spPr>
                          <a:xfrm>
                            <a:off x="0" y="0"/>
                            <a:ext cx="619760" cy="514350"/>
                          </a:xfrm>
                          <a:prstGeom prst="rect">
                            <a:avLst/>
                          </a:prstGeom>
                        </pic:spPr>
                      </pic:pic>
                    </a:graphicData>
                  </a:graphic>
                </wp:anchor>
              </w:drawing>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3</w:t>
            </w:r>
            <w:r>
              <w:rPr>
                <w:rFonts w:hint="eastAsia"/>
                <w:b/>
                <w:color w:val="000000"/>
                <w:sz w:val="22"/>
                <w:szCs w:val="22"/>
              </w:rPr>
              <w:t>月</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日期：年 </w:t>
            </w:r>
            <w:r>
              <w:rPr>
                <w:rFonts w:hint="eastAsia"/>
                <w:b/>
                <w:color w:val="000000"/>
                <w:sz w:val="22"/>
                <w:szCs w:val="22"/>
                <w:lang w:val="en-US" w:eastAsia="zh-CN"/>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A3"/>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042FFA"/>
    <w:rsid w:val="21A418DF"/>
    <w:rsid w:val="38497239"/>
    <w:rsid w:val="5CBF4F3A"/>
    <w:rsid w:val="67863210"/>
    <w:rsid w:val="69037C98"/>
    <w:rsid w:val="710F4B97"/>
    <w:rsid w:val="729249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2021-03-20T01:01:23Z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