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陕西合众联航科技有限公司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0180-2021-Q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营业执照副本编号：91610136MA6TYH639R</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-647700</wp:posOffset>
            </wp:positionH>
            <wp:positionV relativeFrom="paragraph">
              <wp:posOffset>-810260</wp:posOffset>
            </wp:positionV>
            <wp:extent cx="7494905" cy="10455910"/>
            <wp:effectExtent l="0" t="0" r="10795" b="8890"/>
            <wp:wrapNone/>
            <wp:docPr id="3" name="图片 3" descr="扫描全能王 2021-03-20 10.38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20 10.38_7"/>
                    <pic:cNvPicPr>
                      <a:picLocks noChangeAspect="1"/>
                    </pic:cNvPicPr>
                  </pic:nvPicPr>
                  <pic:blipFill>
                    <a:blip r:embed="rId5"/>
                    <a:stretch>
                      <a:fillRect/>
                    </a:stretch>
                  </pic:blipFill>
                  <pic:spPr>
                    <a:xfrm>
                      <a:off x="0" y="0"/>
                      <a:ext cx="7494905" cy="1045591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3721100</wp:posOffset>
                  </wp:positionH>
                  <wp:positionV relativeFrom="paragraph">
                    <wp:posOffset>135255</wp:posOffset>
                  </wp:positionV>
                  <wp:extent cx="556895" cy="46228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556895" cy="46228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2021.3.12</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8F2EED"/>
    <w:rsid w:val="45CD2E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2021-03-20T02:51:24Z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